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04E" w:rsidRPr="0017204E" w:rsidRDefault="0017204E" w:rsidP="001D2C8C">
      <w:pPr>
        <w:pStyle w:val="Texto"/>
        <w:spacing w:line="252" w:lineRule="exact"/>
        <w:ind w:firstLine="0"/>
        <w:jc w:val="center"/>
        <w:rPr>
          <w:b/>
          <w:color w:val="000000"/>
          <w:szCs w:val="18"/>
          <w:lang w:eastAsia="es-MX"/>
        </w:rPr>
      </w:pPr>
      <w:r w:rsidRPr="0017204E">
        <w:rPr>
          <w:b/>
          <w:color w:val="000000"/>
          <w:szCs w:val="18"/>
          <w:lang w:eastAsia="es-MX"/>
        </w:rPr>
        <w:t>SEGUMIENTO DE EVALUACIONES</w:t>
      </w:r>
    </w:p>
    <w:p w:rsidR="0003382F" w:rsidRPr="0017204E" w:rsidRDefault="0003382F" w:rsidP="001D2C8C">
      <w:pPr>
        <w:pStyle w:val="Texto"/>
        <w:spacing w:line="252" w:lineRule="exact"/>
        <w:ind w:firstLine="0"/>
        <w:jc w:val="center"/>
        <w:rPr>
          <w:b/>
          <w:color w:val="000000"/>
          <w:szCs w:val="18"/>
          <w:lang w:eastAsia="es-MX"/>
        </w:rPr>
      </w:pPr>
      <w:r w:rsidRPr="0017204E">
        <w:rPr>
          <w:b/>
          <w:color w:val="000000"/>
          <w:szCs w:val="18"/>
          <w:lang w:eastAsia="es-MX"/>
        </w:rPr>
        <w:t xml:space="preserve">Evaluación Integral del Desempeño del Fondo </w:t>
      </w:r>
      <w:r w:rsidR="001D2C8C" w:rsidRPr="0017204E">
        <w:rPr>
          <w:b/>
          <w:color w:val="000000"/>
          <w:szCs w:val="18"/>
          <w:lang w:eastAsia="es-MX"/>
        </w:rPr>
        <w:t xml:space="preserve">Metropolitano </w:t>
      </w:r>
      <w:r w:rsidRPr="0017204E">
        <w:rPr>
          <w:b/>
          <w:color w:val="000000"/>
          <w:szCs w:val="18"/>
          <w:lang w:eastAsia="es-MX"/>
        </w:rPr>
        <w:t xml:space="preserve">2016 </w:t>
      </w:r>
    </w:p>
    <w:p w:rsidR="001D2C8C" w:rsidRPr="0017204E" w:rsidRDefault="001D2C8C" w:rsidP="0017204E">
      <w:pPr>
        <w:pStyle w:val="Texto"/>
        <w:spacing w:line="252" w:lineRule="exact"/>
        <w:ind w:firstLine="0"/>
        <w:jc w:val="center"/>
        <w:rPr>
          <w:b/>
          <w:color w:val="000000"/>
          <w:szCs w:val="18"/>
          <w:lang w:eastAsia="es-MX"/>
        </w:rPr>
      </w:pPr>
      <w:r w:rsidRPr="0017204E">
        <w:rPr>
          <w:b/>
          <w:color w:val="000000"/>
          <w:szCs w:val="18"/>
          <w:lang w:eastAsia="es-MX"/>
        </w:rPr>
        <w:t xml:space="preserve">Zona Metropolitana Tlaxcala - Apizaco </w:t>
      </w:r>
      <w:r w:rsidR="0017204E" w:rsidRPr="0017204E">
        <w:rPr>
          <w:b/>
          <w:color w:val="000000"/>
          <w:szCs w:val="18"/>
          <w:lang w:eastAsia="es-MX"/>
        </w:rPr>
        <w:t xml:space="preserve">y </w:t>
      </w:r>
      <w:r w:rsidRPr="0017204E">
        <w:rPr>
          <w:b/>
          <w:color w:val="000000"/>
          <w:szCs w:val="18"/>
          <w:lang w:eastAsia="es-MX"/>
        </w:rPr>
        <w:t xml:space="preserve">Zona Metropolitana Puebla - Tlaxcala </w:t>
      </w:r>
    </w:p>
    <w:p w:rsidR="0003382F" w:rsidRPr="0017204E" w:rsidRDefault="0003382F" w:rsidP="008E19F3">
      <w:pPr>
        <w:pStyle w:val="Texto"/>
        <w:spacing w:line="252" w:lineRule="exact"/>
        <w:ind w:firstLine="0"/>
        <w:jc w:val="center"/>
        <w:rPr>
          <w:b/>
          <w:szCs w:val="18"/>
        </w:rPr>
      </w:pPr>
    </w:p>
    <w:p w:rsidR="001D2C8C" w:rsidRPr="00BE6991" w:rsidRDefault="001D2C8C" w:rsidP="001D2C8C">
      <w:pPr>
        <w:pStyle w:val="Texto"/>
        <w:spacing w:line="14" w:lineRule="exact"/>
      </w:pPr>
    </w:p>
    <w:tbl>
      <w:tblPr>
        <w:tblW w:w="483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3"/>
        <w:gridCol w:w="2628"/>
        <w:gridCol w:w="2627"/>
        <w:gridCol w:w="3283"/>
        <w:gridCol w:w="2569"/>
        <w:gridCol w:w="1985"/>
        <w:gridCol w:w="2265"/>
      </w:tblGrid>
      <w:tr w:rsidR="00105E12" w:rsidRPr="00813950" w:rsidTr="004071E8">
        <w:trPr>
          <w:trHeight w:val="720"/>
          <w:tblHeader/>
          <w:jc w:val="center"/>
        </w:trPr>
        <w:tc>
          <w:tcPr>
            <w:tcW w:w="504" w:type="pct"/>
            <w:shd w:val="clear" w:color="000000" w:fill="203764"/>
            <w:noWrap/>
            <w:vAlign w:val="center"/>
            <w:hideMark/>
          </w:tcPr>
          <w:p w:rsidR="00105E12" w:rsidRPr="0086262D" w:rsidRDefault="00105E12" w:rsidP="00C624DD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4"/>
              </w:rPr>
            </w:pPr>
            <w:r w:rsidRPr="0086262D">
              <w:rPr>
                <w:rFonts w:ascii="Century Gothic" w:hAnsi="Century Gothic"/>
                <w:b/>
                <w:bCs/>
                <w:color w:val="FFFFFF"/>
                <w:sz w:val="16"/>
                <w:szCs w:val="14"/>
              </w:rPr>
              <w:t>Parámetro</w:t>
            </w:r>
          </w:p>
        </w:tc>
        <w:tc>
          <w:tcPr>
            <w:tcW w:w="769" w:type="pct"/>
            <w:shd w:val="clear" w:color="000000" w:fill="203764"/>
            <w:noWrap/>
            <w:vAlign w:val="center"/>
            <w:hideMark/>
          </w:tcPr>
          <w:p w:rsidR="00105E12" w:rsidRPr="0086262D" w:rsidRDefault="00105E12" w:rsidP="00C624DD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4"/>
              </w:rPr>
            </w:pPr>
            <w:r w:rsidRPr="0086262D">
              <w:rPr>
                <w:rFonts w:ascii="Century Gothic" w:hAnsi="Century Gothic"/>
                <w:b/>
                <w:bCs/>
                <w:color w:val="FFFFFF"/>
                <w:sz w:val="16"/>
                <w:szCs w:val="14"/>
              </w:rPr>
              <w:t>Áreas susceptibles de mejora (ASM)</w:t>
            </w:r>
          </w:p>
        </w:tc>
        <w:tc>
          <w:tcPr>
            <w:tcW w:w="769" w:type="pct"/>
            <w:shd w:val="clear" w:color="000000" w:fill="203764"/>
            <w:noWrap/>
            <w:vAlign w:val="center"/>
            <w:hideMark/>
          </w:tcPr>
          <w:p w:rsidR="00105E12" w:rsidRPr="0086262D" w:rsidRDefault="00105E12" w:rsidP="00C624DD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4"/>
              </w:rPr>
            </w:pPr>
            <w:r w:rsidRPr="0086262D">
              <w:rPr>
                <w:rFonts w:ascii="Century Gothic" w:hAnsi="Century Gothic"/>
                <w:b/>
                <w:bCs/>
                <w:color w:val="FFFFFF"/>
                <w:sz w:val="16"/>
                <w:szCs w:val="14"/>
              </w:rPr>
              <w:t>Recomendaciones</w:t>
            </w:r>
          </w:p>
        </w:tc>
        <w:tc>
          <w:tcPr>
            <w:tcW w:w="961" w:type="pct"/>
            <w:shd w:val="clear" w:color="000000" w:fill="203764"/>
          </w:tcPr>
          <w:p w:rsidR="00105E12" w:rsidRPr="0086262D" w:rsidRDefault="00105E12" w:rsidP="00C624DD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4"/>
              </w:rPr>
            </w:pPr>
          </w:p>
          <w:p w:rsidR="00105E12" w:rsidRPr="0086262D" w:rsidRDefault="00105E12" w:rsidP="00C624DD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4"/>
              </w:rPr>
            </w:pPr>
            <w:r w:rsidRPr="0086262D">
              <w:rPr>
                <w:rFonts w:ascii="Century Gothic" w:hAnsi="Century Gothic"/>
                <w:b/>
                <w:bCs/>
                <w:color w:val="FFFFFF"/>
                <w:sz w:val="16"/>
                <w:szCs w:val="14"/>
              </w:rPr>
              <w:t xml:space="preserve">Seguimiento </w:t>
            </w:r>
          </w:p>
          <w:p w:rsidR="00105E12" w:rsidRPr="0086262D" w:rsidRDefault="00105E12" w:rsidP="00C624DD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4"/>
              </w:rPr>
            </w:pPr>
          </w:p>
        </w:tc>
        <w:tc>
          <w:tcPr>
            <w:tcW w:w="752" w:type="pct"/>
            <w:shd w:val="clear" w:color="000000" w:fill="203764"/>
          </w:tcPr>
          <w:p w:rsidR="00105E12" w:rsidRPr="0086262D" w:rsidRDefault="00105E12" w:rsidP="00C624DD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4"/>
              </w:rPr>
            </w:pPr>
          </w:p>
          <w:p w:rsidR="00105E12" w:rsidRPr="0086262D" w:rsidRDefault="00105E12" w:rsidP="00C624DD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4"/>
              </w:rPr>
            </w:pPr>
            <w:r w:rsidRPr="0086262D">
              <w:rPr>
                <w:rFonts w:ascii="Century Gothic" w:hAnsi="Century Gothic"/>
                <w:b/>
                <w:bCs/>
                <w:color w:val="FFFFFF"/>
                <w:sz w:val="16"/>
                <w:szCs w:val="14"/>
              </w:rPr>
              <w:t>Observaciones</w:t>
            </w:r>
          </w:p>
        </w:tc>
        <w:tc>
          <w:tcPr>
            <w:tcW w:w="581" w:type="pct"/>
            <w:shd w:val="clear" w:color="000000" w:fill="203764"/>
          </w:tcPr>
          <w:p w:rsidR="00105E12" w:rsidRDefault="00105E12" w:rsidP="00C624DD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4"/>
              </w:rPr>
            </w:pPr>
          </w:p>
          <w:p w:rsidR="00105E12" w:rsidRPr="0086262D" w:rsidRDefault="00105E12" w:rsidP="00C624DD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4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16"/>
                <w:szCs w:val="14"/>
              </w:rPr>
              <w:t>Mejora</w:t>
            </w:r>
          </w:p>
        </w:tc>
        <w:tc>
          <w:tcPr>
            <w:tcW w:w="663" w:type="pct"/>
            <w:shd w:val="clear" w:color="000000" w:fill="203764"/>
          </w:tcPr>
          <w:p w:rsidR="00105E12" w:rsidRDefault="00105E12" w:rsidP="00C624DD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4"/>
              </w:rPr>
            </w:pPr>
          </w:p>
          <w:p w:rsidR="00105E12" w:rsidRDefault="00105E12" w:rsidP="00C624DD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4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16"/>
                <w:szCs w:val="14"/>
              </w:rPr>
              <w:t>Avance</w:t>
            </w:r>
          </w:p>
        </w:tc>
      </w:tr>
      <w:tr w:rsidR="001D2AA1" w:rsidRPr="005523C9" w:rsidTr="004071E8">
        <w:trPr>
          <w:trHeight w:val="1222"/>
          <w:jc w:val="center"/>
        </w:trPr>
        <w:tc>
          <w:tcPr>
            <w:tcW w:w="504" w:type="pct"/>
            <w:shd w:val="clear" w:color="auto" w:fill="auto"/>
            <w:vAlign w:val="center"/>
            <w:hideMark/>
          </w:tcPr>
          <w:p w:rsidR="001D2AA1" w:rsidRPr="005523C9" w:rsidRDefault="001D2AA1" w:rsidP="00C624DD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5523C9">
              <w:rPr>
                <w:rFonts w:ascii="Century Gothic" w:hAnsi="Century Gothic"/>
                <w:color w:val="000000"/>
                <w:sz w:val="16"/>
                <w:szCs w:val="16"/>
              </w:rPr>
              <w:t>Justificación de la creación / diseño del programa</w:t>
            </w:r>
          </w:p>
        </w:tc>
        <w:tc>
          <w:tcPr>
            <w:tcW w:w="769" w:type="pct"/>
            <w:shd w:val="clear" w:color="auto" w:fill="auto"/>
            <w:vAlign w:val="center"/>
            <w:hideMark/>
          </w:tcPr>
          <w:p w:rsidR="001D2AA1" w:rsidRPr="005523C9" w:rsidRDefault="001D2AA1" w:rsidP="00C624DD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1D2AA1" w:rsidRPr="005523C9" w:rsidRDefault="001D2AA1" w:rsidP="00C624DD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5523C9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El </w:t>
            </w:r>
            <w:r w:rsidRPr="007543A3"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Fondo cuenta con un diagnóstico sobre el problema a atender</w:t>
            </w:r>
            <w:r w:rsidRPr="005523C9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 (la instancia ejecutora, identifica la problemática </w:t>
            </w:r>
            <w:r w:rsidRPr="007543A3"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pero la hace de manera general para las dos Zonas Metropolitanas</w:t>
            </w:r>
            <w:r w:rsidRPr="005523C9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 existentes en el estado).</w:t>
            </w:r>
          </w:p>
        </w:tc>
        <w:tc>
          <w:tcPr>
            <w:tcW w:w="769" w:type="pct"/>
            <w:shd w:val="clear" w:color="auto" w:fill="auto"/>
            <w:vAlign w:val="center"/>
            <w:hideMark/>
          </w:tcPr>
          <w:p w:rsidR="001D2AA1" w:rsidRPr="005523C9" w:rsidRDefault="001D2AA1" w:rsidP="00C624DD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5523C9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Es necesario realizar un </w:t>
            </w:r>
            <w:r w:rsidRPr="007543A3"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diagnóstico integral de cada zona metropolitana</w:t>
            </w:r>
            <w:r w:rsidRPr="005523C9">
              <w:rPr>
                <w:rFonts w:ascii="Century Gothic" w:hAnsi="Century Gothic"/>
                <w:color w:val="000000"/>
                <w:sz w:val="16"/>
                <w:szCs w:val="16"/>
              </w:rPr>
              <w:t>, priorizando problemas y consecuencias a mediano y largo plazo,  y definir un plazo para su revisión y actualización.</w:t>
            </w:r>
          </w:p>
        </w:tc>
        <w:tc>
          <w:tcPr>
            <w:tcW w:w="961" w:type="pct"/>
          </w:tcPr>
          <w:p w:rsidR="001D2AA1" w:rsidRPr="005523C9" w:rsidRDefault="001D2AA1" w:rsidP="00C624DD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C</w:t>
            </w:r>
            <w:r w:rsidRPr="005523C9">
              <w:rPr>
                <w:rFonts w:ascii="Century Gothic" w:hAnsi="Century Gothic"/>
                <w:color w:val="000000"/>
                <w:sz w:val="16"/>
                <w:szCs w:val="16"/>
              </w:rPr>
              <w:t>uenta</w:t>
            </w:r>
            <w:r>
              <w:rPr>
                <w:rFonts w:ascii="Century Gothic" w:hAnsi="Century Gothic"/>
                <w:color w:val="000000"/>
                <w:sz w:val="16"/>
                <w:szCs w:val="16"/>
              </w:rPr>
              <w:t>n</w:t>
            </w:r>
            <w:r w:rsidRPr="005523C9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 con el Programa de Ordenamiento Territorial y Desarrollo Urbano, para el estado de Tlaxcala, en el cual se encuentra un diagnóstico Integral del Sistema Territorial. </w:t>
            </w:r>
          </w:p>
        </w:tc>
        <w:tc>
          <w:tcPr>
            <w:tcW w:w="752" w:type="pct"/>
          </w:tcPr>
          <w:p w:rsidR="001D2AA1" w:rsidRPr="005523C9" w:rsidRDefault="001D2AA1" w:rsidP="00C624DD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Documentar, es necesario revisar el programa de ordenamiento para poder solventar esta recomendación; ya que nos piden un dx integral por cada zona.</w:t>
            </w:r>
          </w:p>
        </w:tc>
        <w:tc>
          <w:tcPr>
            <w:tcW w:w="581" w:type="pct"/>
          </w:tcPr>
          <w:p w:rsidR="001D2AA1" w:rsidRDefault="001D2AA1" w:rsidP="003D7C1A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1D2AA1" w:rsidRDefault="001D2AA1" w:rsidP="003D7C1A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1D2AA1" w:rsidRDefault="001D2AA1" w:rsidP="003D7C1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1D2AA1" w:rsidRPr="00424332" w:rsidRDefault="001D2AA1" w:rsidP="003D7C1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ATENDIDO</w:t>
            </w:r>
          </w:p>
        </w:tc>
        <w:tc>
          <w:tcPr>
            <w:tcW w:w="663" w:type="pct"/>
          </w:tcPr>
          <w:p w:rsidR="001D2AA1" w:rsidRDefault="001D2AA1" w:rsidP="003D7C1A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1D2AA1" w:rsidRDefault="001D2AA1" w:rsidP="003D7C1A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1D2AA1" w:rsidRDefault="001D2AA1" w:rsidP="003D7C1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1D2AA1" w:rsidRPr="00424332" w:rsidRDefault="001D2AA1" w:rsidP="003D7C1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100</w:t>
            </w:r>
          </w:p>
        </w:tc>
        <w:bookmarkStart w:id="0" w:name="_GoBack"/>
        <w:bookmarkEnd w:id="0"/>
      </w:tr>
      <w:tr w:rsidR="001D2AA1" w:rsidRPr="005523C9" w:rsidTr="004071E8">
        <w:trPr>
          <w:trHeight w:val="1005"/>
          <w:jc w:val="center"/>
        </w:trPr>
        <w:tc>
          <w:tcPr>
            <w:tcW w:w="504" w:type="pct"/>
            <w:shd w:val="clear" w:color="auto" w:fill="auto"/>
            <w:vAlign w:val="center"/>
            <w:hideMark/>
          </w:tcPr>
          <w:p w:rsidR="001D2AA1" w:rsidRPr="005523C9" w:rsidRDefault="001D2AA1" w:rsidP="00C624DD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5523C9">
              <w:rPr>
                <w:rFonts w:ascii="Century Gothic" w:hAnsi="Century Gothic"/>
                <w:color w:val="000000"/>
                <w:sz w:val="16"/>
                <w:szCs w:val="16"/>
              </w:rPr>
              <w:t>Contribución a los objetivos y metas nacionales y sectoriales</w:t>
            </w:r>
          </w:p>
        </w:tc>
        <w:tc>
          <w:tcPr>
            <w:tcW w:w="769" w:type="pct"/>
            <w:shd w:val="clear" w:color="auto" w:fill="auto"/>
            <w:vAlign w:val="center"/>
            <w:hideMark/>
          </w:tcPr>
          <w:p w:rsidR="001D2AA1" w:rsidRPr="005523C9" w:rsidRDefault="001D2AA1" w:rsidP="00C624DD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7543A3"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El Fondo muestra vinculación</w:t>
            </w:r>
            <w:r w:rsidRPr="005523C9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 y contribuye con las metas, políticas y estrategias de planes y programas a nivel  estatal y nacional.</w:t>
            </w:r>
          </w:p>
        </w:tc>
        <w:tc>
          <w:tcPr>
            <w:tcW w:w="769" w:type="pct"/>
            <w:shd w:val="clear" w:color="auto" w:fill="auto"/>
            <w:vAlign w:val="center"/>
            <w:hideMark/>
          </w:tcPr>
          <w:p w:rsidR="001D2AA1" w:rsidRPr="005523C9" w:rsidRDefault="001D2AA1" w:rsidP="00C624DD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1D2AA1" w:rsidRPr="005523C9" w:rsidRDefault="001D2AA1" w:rsidP="00C624DD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5523C9">
              <w:rPr>
                <w:rFonts w:ascii="Century Gothic" w:hAnsi="Century Gothic"/>
                <w:color w:val="000000"/>
                <w:sz w:val="16"/>
                <w:szCs w:val="16"/>
              </w:rPr>
              <w:t>Es importante tener claros los objetivos y metas de los programas con que se vincula el Fondo Metropolitano para obtener resultados satisfactorios en el desarrollo de proyectos estratégicos de desarrollo urbano.</w:t>
            </w:r>
          </w:p>
        </w:tc>
        <w:tc>
          <w:tcPr>
            <w:tcW w:w="961" w:type="pct"/>
          </w:tcPr>
          <w:p w:rsidR="001D2AA1" w:rsidRPr="005523C9" w:rsidRDefault="001D2AA1" w:rsidP="00C624DD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5523C9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Se encuentra </w:t>
            </w:r>
            <w:r w:rsidRPr="007543A3"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alineado en el Plan Nacional de Desarrollo en la Meta IV.- México Prospero</w:t>
            </w:r>
            <w:r w:rsidRPr="005523C9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, y en el </w:t>
            </w:r>
            <w:r w:rsidRPr="007543A3"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Plan Estatal de Desarrollo en el Eje Rector 2.- Desarrollo y Crecimiento Sustentable.</w:t>
            </w:r>
          </w:p>
        </w:tc>
        <w:tc>
          <w:tcPr>
            <w:tcW w:w="752" w:type="pct"/>
          </w:tcPr>
          <w:p w:rsidR="001D2AA1" w:rsidRPr="005523C9" w:rsidRDefault="001D2AA1" w:rsidP="00C624DD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81" w:type="pct"/>
          </w:tcPr>
          <w:p w:rsidR="001D2AA1" w:rsidRDefault="001D2AA1" w:rsidP="00C624DD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1D2AA1" w:rsidRDefault="001D2AA1" w:rsidP="00424332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1D2AA1" w:rsidRDefault="001D2AA1" w:rsidP="0042433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1D2AA1" w:rsidRPr="00424332" w:rsidRDefault="001D2AA1" w:rsidP="0042433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ATENDIDO</w:t>
            </w:r>
          </w:p>
        </w:tc>
        <w:tc>
          <w:tcPr>
            <w:tcW w:w="663" w:type="pct"/>
          </w:tcPr>
          <w:p w:rsidR="001D2AA1" w:rsidRDefault="001D2AA1" w:rsidP="00C624DD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1D2AA1" w:rsidRDefault="001D2AA1" w:rsidP="00424332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1D2AA1" w:rsidRDefault="001D2AA1" w:rsidP="0042433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1D2AA1" w:rsidRPr="00424332" w:rsidRDefault="001D2AA1" w:rsidP="0042433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100</w:t>
            </w:r>
          </w:p>
        </w:tc>
      </w:tr>
      <w:tr w:rsidR="001D2AA1" w:rsidRPr="005523C9" w:rsidTr="004071E8">
        <w:trPr>
          <w:trHeight w:val="1425"/>
          <w:jc w:val="center"/>
        </w:trPr>
        <w:tc>
          <w:tcPr>
            <w:tcW w:w="504" w:type="pct"/>
            <w:shd w:val="clear" w:color="auto" w:fill="auto"/>
            <w:vAlign w:val="center"/>
            <w:hideMark/>
          </w:tcPr>
          <w:p w:rsidR="001D2AA1" w:rsidRPr="005523C9" w:rsidRDefault="001D2AA1" w:rsidP="00C624DD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5523C9">
              <w:rPr>
                <w:rFonts w:ascii="Century Gothic" w:hAnsi="Century Gothic"/>
                <w:color w:val="000000"/>
                <w:sz w:val="16"/>
                <w:szCs w:val="16"/>
              </w:rPr>
              <w:t>Criterios de asignación de recursos</w:t>
            </w:r>
          </w:p>
        </w:tc>
        <w:tc>
          <w:tcPr>
            <w:tcW w:w="769" w:type="pct"/>
            <w:shd w:val="clear" w:color="auto" w:fill="auto"/>
            <w:vAlign w:val="center"/>
            <w:hideMark/>
          </w:tcPr>
          <w:p w:rsidR="001D2AA1" w:rsidRPr="005523C9" w:rsidRDefault="001D2AA1" w:rsidP="00C624DD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1D2AA1" w:rsidRPr="005523C9" w:rsidRDefault="001D2AA1" w:rsidP="00C624DD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5523C9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La instancia ejecutora del Fondo presenta evidencia documentada en donde se especifica el destino de los recursos, sin embargo </w:t>
            </w:r>
            <w:r w:rsidRPr="007543A3"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no especifica los criterios para su asignación.</w:t>
            </w:r>
          </w:p>
        </w:tc>
        <w:tc>
          <w:tcPr>
            <w:tcW w:w="769" w:type="pct"/>
            <w:shd w:val="clear" w:color="auto" w:fill="auto"/>
            <w:vAlign w:val="center"/>
            <w:hideMark/>
          </w:tcPr>
          <w:p w:rsidR="001D2AA1" w:rsidRPr="005523C9" w:rsidRDefault="001D2AA1" w:rsidP="00C624DD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5523C9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Se recomienda </w:t>
            </w:r>
            <w:r w:rsidRPr="007543A3"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definir los criterios para la selección de proyectos a los que se destinará el recurso</w:t>
            </w:r>
            <w:r w:rsidRPr="005523C9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 asignado a cada Zona Metropolitana.</w:t>
            </w:r>
          </w:p>
        </w:tc>
        <w:tc>
          <w:tcPr>
            <w:tcW w:w="961" w:type="pct"/>
          </w:tcPr>
          <w:p w:rsidR="001D2AA1" w:rsidRPr="005523C9" w:rsidRDefault="001D2AA1" w:rsidP="00C624DD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5523C9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Viene </w:t>
            </w:r>
            <w:r w:rsidRPr="007543A3"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descrito en las ROP, en el punto de criterios de selección de estudios, planes, evaluaciones, programas, proyectos, acciones, obras de infraestructura y su equipamiento</w:t>
            </w:r>
            <w:r w:rsidRPr="005523C9">
              <w:rPr>
                <w:rFonts w:ascii="Century Gothic" w:hAnsi="Century Gothic"/>
                <w:color w:val="000000"/>
                <w:sz w:val="16"/>
                <w:szCs w:val="16"/>
              </w:rPr>
              <w:t>, las ROP se encuentran disponibles en la página de SECODUVI y en la página de SHCP, por lo que se considera que estamos apegados a la normatividad.</w:t>
            </w:r>
          </w:p>
        </w:tc>
        <w:tc>
          <w:tcPr>
            <w:tcW w:w="752" w:type="pct"/>
          </w:tcPr>
          <w:p w:rsidR="001D2AA1" w:rsidRDefault="001D2AA1" w:rsidP="00C624DD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 xml:space="preserve">Se investigó en la Página oficial de SECODUVI. </w:t>
            </w:r>
          </w:p>
          <w:p w:rsidR="001D2AA1" w:rsidRDefault="001D2AA1" w:rsidP="00C624DD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1D2AA1" w:rsidRDefault="001D2AA1" w:rsidP="00C624DD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Se encuentran publicadas las RO:</w:t>
            </w:r>
          </w:p>
          <w:p w:rsidR="001D2AA1" w:rsidRPr="00821D3D" w:rsidRDefault="001D2AA1" w:rsidP="00C624DD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  <w:u w:val="single"/>
              </w:rPr>
            </w:pPr>
            <w:r w:rsidRPr="00821D3D">
              <w:rPr>
                <w:rFonts w:ascii="Century Gothic" w:hAnsi="Century Gothic"/>
                <w:color w:val="000000"/>
                <w:sz w:val="16"/>
                <w:szCs w:val="16"/>
                <w:u w:val="single"/>
              </w:rPr>
              <w:t>http://secoduvi.tlaxcala.gob.mx/images/ReglasManualesLineamientos/REGLAS%20DE%20OPERACION%20DEL%20FONDO%20METROPOLITANO%20EJERCICIO%202016.pd</w:t>
            </w:r>
          </w:p>
        </w:tc>
        <w:tc>
          <w:tcPr>
            <w:tcW w:w="581" w:type="pct"/>
          </w:tcPr>
          <w:p w:rsidR="001D2AA1" w:rsidRDefault="001D2AA1" w:rsidP="00C624DD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1D2AA1" w:rsidRDefault="001D2AA1" w:rsidP="00C624DD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1D2AA1" w:rsidRDefault="001D2AA1" w:rsidP="00C624DD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1D2AA1" w:rsidRDefault="001D2AA1" w:rsidP="00C624DD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1D2AA1" w:rsidRPr="005523C9" w:rsidRDefault="001D2AA1" w:rsidP="00C624DD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 xml:space="preserve">          ATENDIDO</w:t>
            </w:r>
          </w:p>
        </w:tc>
        <w:tc>
          <w:tcPr>
            <w:tcW w:w="663" w:type="pct"/>
          </w:tcPr>
          <w:p w:rsidR="001D2AA1" w:rsidRDefault="001D2AA1" w:rsidP="00C624DD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1D2AA1" w:rsidRDefault="001D2AA1" w:rsidP="00C624DD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1D2AA1" w:rsidRDefault="001D2AA1" w:rsidP="00C624DD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1D2AA1" w:rsidRDefault="001D2AA1" w:rsidP="00C624DD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1D2AA1" w:rsidRPr="005523C9" w:rsidRDefault="001D2AA1" w:rsidP="00C624DD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 xml:space="preserve">                   100</w:t>
            </w:r>
          </w:p>
        </w:tc>
      </w:tr>
      <w:tr w:rsidR="001D2AA1" w:rsidRPr="005523C9" w:rsidTr="004071E8">
        <w:trPr>
          <w:trHeight w:val="1216"/>
          <w:jc w:val="center"/>
        </w:trPr>
        <w:tc>
          <w:tcPr>
            <w:tcW w:w="504" w:type="pct"/>
            <w:shd w:val="clear" w:color="auto" w:fill="auto"/>
            <w:vAlign w:val="center"/>
            <w:hideMark/>
          </w:tcPr>
          <w:p w:rsidR="001D2AA1" w:rsidRPr="005523C9" w:rsidRDefault="001D2AA1" w:rsidP="00C624DD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5523C9">
              <w:rPr>
                <w:rFonts w:ascii="Century Gothic" w:hAnsi="Century Gothic"/>
                <w:color w:val="000000"/>
                <w:sz w:val="16"/>
                <w:szCs w:val="16"/>
              </w:rPr>
              <w:lastRenderedPageBreak/>
              <w:t>Población potencial, objetivo y mecanismos de elección</w:t>
            </w:r>
          </w:p>
        </w:tc>
        <w:tc>
          <w:tcPr>
            <w:tcW w:w="769" w:type="pct"/>
            <w:shd w:val="clear" w:color="auto" w:fill="auto"/>
            <w:vAlign w:val="center"/>
            <w:hideMark/>
          </w:tcPr>
          <w:p w:rsidR="001D2AA1" w:rsidRPr="005523C9" w:rsidRDefault="001D2AA1" w:rsidP="00C624DD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720B54"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El Fondo en sus ROP define la Población potencial y objetivo</w:t>
            </w:r>
            <w:r w:rsidRPr="005523C9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, la instancia ejecutora del programa toma como base este criterio sin embargo, </w:t>
            </w:r>
            <w:r w:rsidRPr="00720B54"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no cuenta con una estrategia de cobertura, Tampoco cuenta con un instrumento para medir la satisfacción de la población atendida</w:t>
            </w:r>
            <w:r w:rsidRPr="005523C9">
              <w:rPr>
                <w:rFonts w:ascii="Century Gothic" w:hAnsi="Century Gothic"/>
                <w:color w:val="000000"/>
                <w:sz w:val="16"/>
                <w:szCs w:val="16"/>
              </w:rPr>
              <w:t>.</w:t>
            </w:r>
          </w:p>
        </w:tc>
        <w:tc>
          <w:tcPr>
            <w:tcW w:w="769" w:type="pct"/>
            <w:shd w:val="clear" w:color="auto" w:fill="auto"/>
            <w:vAlign w:val="center"/>
            <w:hideMark/>
          </w:tcPr>
          <w:p w:rsidR="001D2AA1" w:rsidRPr="005523C9" w:rsidRDefault="001D2AA1" w:rsidP="00C624DD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720B54"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Diseñar una estrategia de cobertura</w:t>
            </w:r>
            <w:r w:rsidRPr="005523C9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; diseñar un instrumento </w:t>
            </w:r>
            <w:r w:rsidRPr="00720B54"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para medir el grado de satisfacción de la población atendida</w:t>
            </w:r>
          </w:p>
        </w:tc>
        <w:tc>
          <w:tcPr>
            <w:tcW w:w="961" w:type="pct"/>
          </w:tcPr>
          <w:p w:rsidR="001D2AA1" w:rsidRPr="005523C9" w:rsidRDefault="001D2AA1" w:rsidP="00C624DD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720B54"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Según las Reglas de Operación del Fondo, estas no piden incluir diseñar una estrategia de cobertura, ni un instrumento cualitativo</w:t>
            </w:r>
            <w:r w:rsidRPr="005523C9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 que mida el grado de satisfacción de la población.</w:t>
            </w:r>
          </w:p>
        </w:tc>
        <w:tc>
          <w:tcPr>
            <w:tcW w:w="752" w:type="pct"/>
          </w:tcPr>
          <w:p w:rsidR="001D2AA1" w:rsidRPr="005523C9" w:rsidRDefault="001D2AA1" w:rsidP="00C624DD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81" w:type="pct"/>
          </w:tcPr>
          <w:p w:rsidR="001D2AA1" w:rsidRDefault="001D2AA1" w:rsidP="00323E1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1D2AA1" w:rsidRDefault="001D2AA1" w:rsidP="00323E1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1D2AA1" w:rsidRDefault="001D2AA1" w:rsidP="00323E1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1D2AA1" w:rsidRDefault="001D2AA1" w:rsidP="00323E1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1D2AA1" w:rsidRPr="005523C9" w:rsidRDefault="001D2AA1" w:rsidP="00323E1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 xml:space="preserve">          ATENDIDO</w:t>
            </w:r>
          </w:p>
        </w:tc>
        <w:tc>
          <w:tcPr>
            <w:tcW w:w="663" w:type="pct"/>
          </w:tcPr>
          <w:p w:rsidR="001D2AA1" w:rsidRDefault="001D2AA1" w:rsidP="00323E1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1D2AA1" w:rsidRDefault="001D2AA1" w:rsidP="00323E1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1D2AA1" w:rsidRDefault="001D2AA1" w:rsidP="00323E1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1D2AA1" w:rsidRDefault="001D2AA1" w:rsidP="00323E1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1D2AA1" w:rsidRPr="005523C9" w:rsidRDefault="001D2AA1" w:rsidP="00323E1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 xml:space="preserve">                   100</w:t>
            </w:r>
          </w:p>
        </w:tc>
      </w:tr>
      <w:tr w:rsidR="001D2AA1" w:rsidRPr="005523C9" w:rsidTr="004071E8">
        <w:trPr>
          <w:trHeight w:val="1245"/>
          <w:jc w:val="center"/>
        </w:trPr>
        <w:tc>
          <w:tcPr>
            <w:tcW w:w="504" w:type="pct"/>
            <w:shd w:val="clear" w:color="auto" w:fill="auto"/>
            <w:vAlign w:val="center"/>
            <w:hideMark/>
          </w:tcPr>
          <w:p w:rsidR="001D2AA1" w:rsidRPr="005523C9" w:rsidRDefault="001D2AA1" w:rsidP="00C624DD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5523C9">
              <w:rPr>
                <w:rFonts w:ascii="Century Gothic" w:hAnsi="Century Gothic"/>
                <w:color w:val="000000"/>
                <w:sz w:val="16"/>
                <w:szCs w:val="16"/>
              </w:rPr>
              <w:t>MIR</w:t>
            </w:r>
          </w:p>
        </w:tc>
        <w:tc>
          <w:tcPr>
            <w:tcW w:w="769" w:type="pct"/>
            <w:shd w:val="clear" w:color="auto" w:fill="auto"/>
            <w:vAlign w:val="center"/>
            <w:hideMark/>
          </w:tcPr>
          <w:p w:rsidR="001D2AA1" w:rsidRPr="005523C9" w:rsidRDefault="001D2AA1" w:rsidP="00C624DD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5523C9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El programa cuenta con una MIR, sin embargo, </w:t>
            </w:r>
            <w:r w:rsidRPr="00720B54"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los indicadores establecidos no permiten visualizar de manera clara su eficacia y eficiencia.</w:t>
            </w:r>
          </w:p>
        </w:tc>
        <w:tc>
          <w:tcPr>
            <w:tcW w:w="769" w:type="pct"/>
            <w:shd w:val="clear" w:color="auto" w:fill="auto"/>
            <w:vAlign w:val="center"/>
            <w:hideMark/>
          </w:tcPr>
          <w:p w:rsidR="001D2AA1" w:rsidRPr="005523C9" w:rsidRDefault="001D2AA1" w:rsidP="00C624DD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720B54"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Rediseñar su Matriz de Indicadores con metodología de Marco Lógico</w:t>
            </w:r>
            <w:r w:rsidRPr="005523C9">
              <w:rPr>
                <w:rFonts w:ascii="Century Gothic" w:hAnsi="Century Gothic"/>
                <w:color w:val="000000"/>
                <w:sz w:val="16"/>
                <w:szCs w:val="16"/>
              </w:rPr>
              <w:t>, ya que para el mejorar desempeño del fondo, es necesario establecer indicadores que permitan de manera clara medir su eficacia y eficiencia.</w:t>
            </w:r>
          </w:p>
        </w:tc>
        <w:tc>
          <w:tcPr>
            <w:tcW w:w="961" w:type="pct"/>
          </w:tcPr>
          <w:p w:rsidR="001D2AA1" w:rsidRPr="00720B54" w:rsidRDefault="001D2AA1" w:rsidP="00C624DD">
            <w:pPr>
              <w:jc w:val="both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 w:rsidRPr="005523C9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Se </w:t>
            </w:r>
            <w:r w:rsidRPr="00720B54"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entregaron los formatos programáticos anexados, elaborados con la Metodología del marco lógico que incluye la MIR de los Fondos Metropolitanos Puebla –Tlaxcala y Tlaxcala – Apizaco.</w:t>
            </w:r>
          </w:p>
          <w:p w:rsidR="001D2AA1" w:rsidRPr="005523C9" w:rsidRDefault="001D2AA1" w:rsidP="00C624DD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1D2AA1" w:rsidRPr="005523C9" w:rsidRDefault="001D2AA1" w:rsidP="00C624DD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5523C9">
              <w:rPr>
                <w:rFonts w:ascii="Century Gothic" w:hAnsi="Century Gothic"/>
                <w:color w:val="000000"/>
                <w:sz w:val="16"/>
                <w:szCs w:val="16"/>
              </w:rPr>
              <w:t>Se propondrá a la Secretaria de Planeación y Finanzas, establecer un mecanismo para que ambas dependencias analicen y evalúen de forma metodológica la MIR que actualmente existe para el Fondo de Aportaciones para el fortalecimiento de las Entidades Federativas (FAFEF), y se genere una mejora de la misma</w:t>
            </w:r>
          </w:p>
        </w:tc>
        <w:tc>
          <w:tcPr>
            <w:tcW w:w="752" w:type="pct"/>
            <w:vAlign w:val="center"/>
          </w:tcPr>
          <w:p w:rsidR="001D2AA1" w:rsidRPr="005523C9" w:rsidRDefault="001D2AA1" w:rsidP="00720B54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5523C9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Se anexó </w:t>
            </w:r>
            <w:r>
              <w:rPr>
                <w:rFonts w:ascii="Century Gothic" w:hAnsi="Century Gothic"/>
                <w:color w:val="000000"/>
                <w:sz w:val="16"/>
                <w:szCs w:val="16"/>
              </w:rPr>
              <w:t xml:space="preserve">acuse del </w:t>
            </w:r>
            <w:r w:rsidRPr="005523C9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 oficio</w:t>
            </w:r>
          </w:p>
          <w:p w:rsidR="001D2AA1" w:rsidRPr="005523C9" w:rsidRDefault="001D2AA1" w:rsidP="00720B54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5523C9">
              <w:rPr>
                <w:rFonts w:ascii="Century Gothic" w:hAnsi="Century Gothic"/>
                <w:color w:val="000000"/>
                <w:sz w:val="16"/>
                <w:szCs w:val="16"/>
              </w:rPr>
              <w:t>SEC-DA-0844-2016 y SEC-DA-0900-2016</w:t>
            </w:r>
          </w:p>
          <w:p w:rsidR="001D2AA1" w:rsidRDefault="001D2AA1" w:rsidP="00720B54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1D2AA1" w:rsidRPr="005523C9" w:rsidRDefault="001D2AA1" w:rsidP="00720B54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Documentar para revisar MIR específica y poder solventar</w:t>
            </w:r>
          </w:p>
        </w:tc>
        <w:tc>
          <w:tcPr>
            <w:tcW w:w="581" w:type="pct"/>
          </w:tcPr>
          <w:p w:rsidR="001D2AA1" w:rsidRDefault="001D2AA1" w:rsidP="00323E1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1D2AA1" w:rsidRDefault="001D2AA1" w:rsidP="00323E1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1D2AA1" w:rsidRDefault="001D2AA1" w:rsidP="00323E1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1D2AA1" w:rsidRDefault="001D2AA1" w:rsidP="00323E1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1D2AA1" w:rsidRDefault="001D2AA1" w:rsidP="00323E1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 xml:space="preserve">       </w:t>
            </w:r>
          </w:p>
          <w:p w:rsidR="001D2AA1" w:rsidRPr="005523C9" w:rsidRDefault="001D2AA1" w:rsidP="00323E1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 xml:space="preserve">   ATENDIDO</w:t>
            </w:r>
          </w:p>
        </w:tc>
        <w:tc>
          <w:tcPr>
            <w:tcW w:w="663" w:type="pct"/>
          </w:tcPr>
          <w:p w:rsidR="001D2AA1" w:rsidRDefault="001D2AA1" w:rsidP="00323E1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1D2AA1" w:rsidRDefault="001D2AA1" w:rsidP="00323E1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1D2AA1" w:rsidRDefault="001D2AA1" w:rsidP="00323E1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1D2AA1" w:rsidRDefault="001D2AA1" w:rsidP="00323E1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1D2AA1" w:rsidRDefault="001D2AA1" w:rsidP="00323E1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 xml:space="preserve">                </w:t>
            </w:r>
          </w:p>
          <w:p w:rsidR="001D2AA1" w:rsidRPr="005523C9" w:rsidRDefault="001D2AA1" w:rsidP="00323E1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 xml:space="preserve">                   100</w:t>
            </w:r>
          </w:p>
        </w:tc>
      </w:tr>
    </w:tbl>
    <w:p w:rsidR="001D2C8C" w:rsidRPr="005523C9" w:rsidRDefault="001D2C8C" w:rsidP="001D2C8C">
      <w:pPr>
        <w:pStyle w:val="Texto"/>
        <w:tabs>
          <w:tab w:val="left" w:pos="1067"/>
          <w:tab w:val="left" w:pos="4062"/>
          <w:tab w:val="left" w:pos="4222"/>
          <w:tab w:val="left" w:pos="6556"/>
          <w:tab w:val="left" w:pos="7780"/>
        </w:tabs>
        <w:spacing w:line="268" w:lineRule="exact"/>
        <w:ind w:left="144" w:firstLine="0"/>
        <w:jc w:val="left"/>
        <w:rPr>
          <w:color w:val="000000"/>
          <w:sz w:val="16"/>
          <w:szCs w:val="16"/>
          <w:lang w:eastAsia="es-MX"/>
        </w:rPr>
      </w:pPr>
    </w:p>
    <w:p w:rsidR="001D2C8C" w:rsidRPr="005523C9" w:rsidRDefault="001D2C8C" w:rsidP="001D2C8C">
      <w:pPr>
        <w:rPr>
          <w:sz w:val="16"/>
          <w:szCs w:val="16"/>
        </w:rPr>
      </w:pPr>
    </w:p>
    <w:p w:rsidR="001D2C8C" w:rsidRPr="005523C9" w:rsidRDefault="001D2C8C" w:rsidP="008E19F3">
      <w:pPr>
        <w:pStyle w:val="Texto"/>
        <w:spacing w:line="252" w:lineRule="exact"/>
        <w:ind w:firstLine="0"/>
        <w:jc w:val="center"/>
        <w:rPr>
          <w:b/>
          <w:sz w:val="16"/>
          <w:szCs w:val="16"/>
        </w:rPr>
      </w:pPr>
    </w:p>
    <w:p w:rsidR="00B94F35" w:rsidRDefault="00B94F35" w:rsidP="00B94F35">
      <w:pPr>
        <w:rPr>
          <w:rFonts w:ascii="Century Gothic" w:hAnsi="Century Gothic"/>
          <w:sz w:val="16"/>
          <w:szCs w:val="16"/>
        </w:rPr>
      </w:pPr>
    </w:p>
    <w:p w:rsidR="00B94F35" w:rsidRDefault="00B94F35" w:rsidP="00B94F35">
      <w:pPr>
        <w:rPr>
          <w:rFonts w:ascii="Century Gothic" w:hAnsi="Century Gothic"/>
          <w:sz w:val="16"/>
          <w:szCs w:val="16"/>
        </w:rPr>
      </w:pPr>
    </w:p>
    <w:p w:rsidR="00B94F35" w:rsidRDefault="00B94F35" w:rsidP="00B94F35">
      <w:pPr>
        <w:rPr>
          <w:rFonts w:ascii="Century Gothic" w:hAnsi="Century Gothic"/>
          <w:sz w:val="16"/>
          <w:szCs w:val="16"/>
        </w:rPr>
      </w:pPr>
    </w:p>
    <w:p w:rsidR="00B94F35" w:rsidRDefault="00B94F35" w:rsidP="00B94F35">
      <w:pPr>
        <w:rPr>
          <w:rFonts w:ascii="Century Gothic" w:hAnsi="Century Gothic"/>
          <w:sz w:val="16"/>
          <w:szCs w:val="16"/>
        </w:rPr>
      </w:pPr>
    </w:p>
    <w:p w:rsidR="00B94F35" w:rsidRDefault="00B94F35" w:rsidP="00B94F35">
      <w:pPr>
        <w:rPr>
          <w:rFonts w:ascii="Century Gothic" w:hAnsi="Century Gothic"/>
          <w:sz w:val="16"/>
          <w:szCs w:val="16"/>
        </w:rPr>
      </w:pPr>
    </w:p>
    <w:p w:rsidR="00B94F35" w:rsidRDefault="00B94F35" w:rsidP="00B94F35">
      <w:pPr>
        <w:rPr>
          <w:rFonts w:ascii="Century Gothic" w:hAnsi="Century Gothic"/>
          <w:sz w:val="16"/>
          <w:szCs w:val="16"/>
        </w:rPr>
      </w:pPr>
    </w:p>
    <w:p w:rsidR="00B94F35" w:rsidRDefault="00B94F35" w:rsidP="00B94F35">
      <w:pPr>
        <w:rPr>
          <w:rFonts w:ascii="Century Gothic" w:hAnsi="Century Gothic"/>
          <w:sz w:val="16"/>
          <w:szCs w:val="16"/>
        </w:rPr>
      </w:pPr>
    </w:p>
    <w:p w:rsidR="00B94F35" w:rsidRDefault="00B94F35" w:rsidP="00B94F35">
      <w:pPr>
        <w:rPr>
          <w:rFonts w:ascii="Century Gothic" w:hAnsi="Century Gothic"/>
          <w:sz w:val="16"/>
          <w:szCs w:val="16"/>
        </w:rPr>
      </w:pPr>
    </w:p>
    <w:p w:rsidR="00B94F35" w:rsidRDefault="00B94F35" w:rsidP="00B94F35">
      <w:pPr>
        <w:rPr>
          <w:rFonts w:ascii="Century Gothic" w:hAnsi="Century Gothic"/>
          <w:sz w:val="16"/>
          <w:szCs w:val="16"/>
        </w:rPr>
      </w:pPr>
    </w:p>
    <w:p w:rsidR="00B94F35" w:rsidRDefault="00B94F35" w:rsidP="00B94F35">
      <w:pPr>
        <w:rPr>
          <w:rFonts w:ascii="Century Gothic" w:hAnsi="Century Gothic"/>
          <w:sz w:val="16"/>
          <w:szCs w:val="16"/>
        </w:rPr>
      </w:pPr>
    </w:p>
    <w:p w:rsidR="00B94F35" w:rsidRDefault="00B94F35" w:rsidP="00B94F35">
      <w:pPr>
        <w:rPr>
          <w:rFonts w:ascii="Century Gothic" w:hAnsi="Century Gothic"/>
          <w:sz w:val="16"/>
          <w:szCs w:val="16"/>
        </w:rPr>
      </w:pPr>
    </w:p>
    <w:p w:rsidR="00B94F35" w:rsidRPr="0074654A" w:rsidRDefault="00B94F35" w:rsidP="00B94F35">
      <w:pPr>
        <w:rPr>
          <w:rFonts w:ascii="Century Gothic" w:hAnsi="Century Gothic"/>
          <w:b/>
          <w:sz w:val="20"/>
        </w:rPr>
      </w:pPr>
      <w:r w:rsidRPr="0074654A">
        <w:rPr>
          <w:rFonts w:ascii="Century Gothic" w:hAnsi="Century Gothic"/>
          <w:b/>
          <w:sz w:val="20"/>
        </w:rPr>
        <w:t>Página oficial de SECODUVI:</w:t>
      </w:r>
    </w:p>
    <w:p w:rsidR="00B94F35" w:rsidRPr="0074654A" w:rsidRDefault="00B94F35" w:rsidP="00B94F35">
      <w:pPr>
        <w:rPr>
          <w:rFonts w:ascii="Century Gothic" w:hAnsi="Century Gothic"/>
          <w:b/>
          <w:sz w:val="20"/>
        </w:rPr>
      </w:pPr>
    </w:p>
    <w:p w:rsidR="00B94F35" w:rsidRPr="0074654A" w:rsidRDefault="00B94F35" w:rsidP="00B94F35">
      <w:pPr>
        <w:pStyle w:val="Prrafodelista"/>
        <w:numPr>
          <w:ilvl w:val="0"/>
          <w:numId w:val="16"/>
        </w:numPr>
        <w:jc w:val="both"/>
        <w:rPr>
          <w:rFonts w:ascii="Century Gothic" w:hAnsi="Century Gothic"/>
          <w:sz w:val="20"/>
          <w:szCs w:val="20"/>
        </w:rPr>
      </w:pPr>
      <w:r w:rsidRPr="0074654A">
        <w:rPr>
          <w:rFonts w:ascii="Century Gothic" w:hAnsi="Century Gothic"/>
          <w:sz w:val="20"/>
          <w:szCs w:val="20"/>
        </w:rPr>
        <w:t xml:space="preserve">Definir una MIR a </w:t>
      </w:r>
      <w:r>
        <w:rPr>
          <w:rFonts w:ascii="Century Gothic" w:hAnsi="Century Gothic"/>
          <w:sz w:val="20"/>
          <w:szCs w:val="20"/>
        </w:rPr>
        <w:t>nivel estatal exclusiva del FONDO METROPOLITANO (Zona Metropolitana Tlaxcala – Apizaco y Puebla- Tlaxcala)</w:t>
      </w:r>
      <w:r w:rsidRPr="0074654A">
        <w:rPr>
          <w:rFonts w:ascii="Century Gothic" w:hAnsi="Century Gothic"/>
          <w:sz w:val="20"/>
          <w:szCs w:val="20"/>
        </w:rPr>
        <w:t>, que coadyuve a robustecer el seguimiento y evaluación del Fondo.</w:t>
      </w:r>
    </w:p>
    <w:p w:rsidR="00B94F35" w:rsidRPr="0074654A" w:rsidRDefault="00B94F35" w:rsidP="00B94F35">
      <w:pPr>
        <w:pStyle w:val="Prrafodelista"/>
        <w:jc w:val="both"/>
        <w:rPr>
          <w:rFonts w:ascii="Century Gothic" w:hAnsi="Century Gothic"/>
          <w:sz w:val="20"/>
          <w:szCs w:val="20"/>
        </w:rPr>
      </w:pPr>
    </w:p>
    <w:p w:rsidR="00B94F35" w:rsidRPr="0074654A" w:rsidRDefault="00B94F35" w:rsidP="00B94F35">
      <w:pPr>
        <w:pStyle w:val="Prrafodelista"/>
        <w:numPr>
          <w:ilvl w:val="0"/>
          <w:numId w:val="16"/>
        </w:numPr>
        <w:jc w:val="both"/>
        <w:rPr>
          <w:rFonts w:ascii="Century Gothic" w:hAnsi="Century Gothic"/>
          <w:sz w:val="20"/>
          <w:szCs w:val="20"/>
        </w:rPr>
      </w:pPr>
      <w:r w:rsidRPr="0074654A">
        <w:rPr>
          <w:rFonts w:ascii="Century Gothic" w:hAnsi="Century Gothic"/>
          <w:sz w:val="20"/>
          <w:szCs w:val="20"/>
        </w:rPr>
        <w:t>En cuanto a su página oficial de la Secretaría, no están publicados:</w:t>
      </w:r>
    </w:p>
    <w:p w:rsidR="00B94F35" w:rsidRPr="0074654A" w:rsidRDefault="00B94F35" w:rsidP="00B94F35">
      <w:pPr>
        <w:pStyle w:val="Prrafodelista"/>
        <w:numPr>
          <w:ilvl w:val="0"/>
          <w:numId w:val="17"/>
        </w:numPr>
        <w:jc w:val="both"/>
        <w:rPr>
          <w:rFonts w:ascii="Century Gothic" w:hAnsi="Century Gothic"/>
          <w:sz w:val="20"/>
          <w:szCs w:val="20"/>
        </w:rPr>
      </w:pPr>
      <w:r w:rsidRPr="0074654A">
        <w:rPr>
          <w:rFonts w:ascii="Century Gothic" w:hAnsi="Century Gothic"/>
          <w:sz w:val="20"/>
          <w:szCs w:val="20"/>
        </w:rPr>
        <w:t>Matriz de Indicadores para Resultados (MIR 2016)</w:t>
      </w:r>
    </w:p>
    <w:p w:rsidR="00B94F35" w:rsidRPr="0074654A" w:rsidRDefault="00B94F35" w:rsidP="00B94F35">
      <w:pPr>
        <w:pStyle w:val="Prrafodelista"/>
        <w:numPr>
          <w:ilvl w:val="0"/>
          <w:numId w:val="17"/>
        </w:numPr>
        <w:jc w:val="both"/>
        <w:rPr>
          <w:rFonts w:ascii="Century Gothic" w:hAnsi="Century Gothic"/>
          <w:sz w:val="20"/>
          <w:szCs w:val="20"/>
        </w:rPr>
      </w:pPr>
      <w:r w:rsidRPr="0074654A">
        <w:rPr>
          <w:rFonts w:ascii="Century Gothic" w:hAnsi="Century Gothic"/>
          <w:sz w:val="20"/>
          <w:szCs w:val="20"/>
        </w:rPr>
        <w:t>Reporte de Indicadores</w:t>
      </w:r>
    </w:p>
    <w:p w:rsidR="00B94F35" w:rsidRPr="0074654A" w:rsidRDefault="00B94F35" w:rsidP="00B94F35">
      <w:pPr>
        <w:pStyle w:val="Prrafodelista"/>
        <w:numPr>
          <w:ilvl w:val="0"/>
          <w:numId w:val="17"/>
        </w:numPr>
        <w:jc w:val="both"/>
        <w:rPr>
          <w:rFonts w:ascii="Century Gothic" w:hAnsi="Century Gothic"/>
          <w:sz w:val="20"/>
          <w:szCs w:val="20"/>
        </w:rPr>
      </w:pPr>
      <w:r w:rsidRPr="0074654A">
        <w:rPr>
          <w:rFonts w:ascii="Century Gothic" w:hAnsi="Century Gothic"/>
          <w:sz w:val="20"/>
          <w:szCs w:val="20"/>
        </w:rPr>
        <w:t>No esta publicada su Ficha CONAC</w:t>
      </w:r>
    </w:p>
    <w:p w:rsidR="00B94F35" w:rsidRPr="0074654A" w:rsidRDefault="00B94F35" w:rsidP="00B94F35">
      <w:pPr>
        <w:pStyle w:val="Prrafodelista"/>
        <w:ind w:left="1440"/>
        <w:jc w:val="both"/>
        <w:rPr>
          <w:rFonts w:ascii="Century Gothic" w:hAnsi="Century Gothic"/>
          <w:sz w:val="20"/>
          <w:szCs w:val="20"/>
        </w:rPr>
      </w:pPr>
    </w:p>
    <w:p w:rsidR="00B94F35" w:rsidRPr="0074654A" w:rsidRDefault="00B94F35" w:rsidP="00B94F35">
      <w:pPr>
        <w:pStyle w:val="Prrafodelista"/>
        <w:numPr>
          <w:ilvl w:val="0"/>
          <w:numId w:val="16"/>
        </w:numPr>
        <w:jc w:val="both"/>
        <w:rPr>
          <w:rFonts w:ascii="Century Gothic" w:hAnsi="Century Gothic"/>
          <w:sz w:val="20"/>
          <w:szCs w:val="20"/>
        </w:rPr>
      </w:pPr>
      <w:r w:rsidRPr="0074654A">
        <w:rPr>
          <w:rFonts w:ascii="Century Gothic" w:hAnsi="Century Gothic"/>
          <w:sz w:val="20"/>
          <w:szCs w:val="20"/>
        </w:rPr>
        <w:t xml:space="preserve">Se encuentra publicado el PAE 2017: </w:t>
      </w:r>
    </w:p>
    <w:p w:rsidR="00B94F35" w:rsidRPr="0074654A" w:rsidRDefault="00E05D43" w:rsidP="00B94F35">
      <w:pPr>
        <w:pStyle w:val="Prrafodelista"/>
        <w:jc w:val="both"/>
        <w:rPr>
          <w:rFonts w:ascii="Century Gothic" w:hAnsi="Century Gothic"/>
          <w:sz w:val="20"/>
          <w:szCs w:val="20"/>
        </w:rPr>
      </w:pPr>
      <w:hyperlink r:id="rId8" w:history="1">
        <w:r w:rsidR="00B94F35" w:rsidRPr="0074654A">
          <w:rPr>
            <w:rFonts w:ascii="Century Gothic" w:hAnsi="Century Gothic"/>
            <w:sz w:val="20"/>
            <w:szCs w:val="20"/>
          </w:rPr>
          <w:t>http://secoduvi.tlaxcala.gob.mx/images/evaext/pae_2017.pdf</w:t>
        </w:r>
      </w:hyperlink>
    </w:p>
    <w:p w:rsidR="00B94F35" w:rsidRPr="0074654A" w:rsidRDefault="00B94F35" w:rsidP="00B94F35">
      <w:pPr>
        <w:pStyle w:val="Prrafodelista"/>
        <w:jc w:val="both"/>
        <w:rPr>
          <w:rFonts w:ascii="Century Gothic" w:hAnsi="Century Gothic"/>
          <w:sz w:val="20"/>
          <w:szCs w:val="20"/>
        </w:rPr>
      </w:pPr>
    </w:p>
    <w:p w:rsidR="00B94F35" w:rsidRPr="0074654A" w:rsidRDefault="00B94F35" w:rsidP="00B94F35">
      <w:pPr>
        <w:pStyle w:val="Prrafodelista"/>
        <w:numPr>
          <w:ilvl w:val="0"/>
          <w:numId w:val="16"/>
        </w:num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Se visualiza la evaluación FONDO METROPOLITANO</w:t>
      </w:r>
      <w:r w:rsidRPr="0074654A">
        <w:rPr>
          <w:rFonts w:ascii="Century Gothic" w:hAnsi="Century Gothic"/>
          <w:sz w:val="20"/>
          <w:szCs w:val="20"/>
        </w:rPr>
        <w:t xml:space="preserve"> 2016:</w:t>
      </w:r>
    </w:p>
    <w:p w:rsidR="00B94F35" w:rsidRDefault="00E05D43" w:rsidP="00B94F35">
      <w:pPr>
        <w:pStyle w:val="Prrafodelista"/>
        <w:jc w:val="both"/>
        <w:rPr>
          <w:rFonts w:ascii="Century Gothic" w:hAnsi="Century Gothic"/>
          <w:sz w:val="20"/>
          <w:szCs w:val="20"/>
        </w:rPr>
      </w:pPr>
      <w:hyperlink r:id="rId9" w:history="1">
        <w:r w:rsidR="00B94F35" w:rsidRPr="00D44016">
          <w:rPr>
            <w:rStyle w:val="Hipervnculo"/>
            <w:rFonts w:ascii="Century Gothic" w:hAnsi="Century Gothic"/>
            <w:sz w:val="20"/>
            <w:szCs w:val="20"/>
          </w:rPr>
          <w:t>http://secoduvi.tlaxcala.gob.mx/index.php/2015-07-17-23-00-01/fondo-metro</w:t>
        </w:r>
      </w:hyperlink>
    </w:p>
    <w:p w:rsidR="00B94F35" w:rsidRDefault="00E05D43" w:rsidP="00B94F35">
      <w:pPr>
        <w:pStyle w:val="Prrafodelista"/>
        <w:jc w:val="both"/>
        <w:rPr>
          <w:rFonts w:ascii="Century Gothic" w:hAnsi="Century Gothic"/>
          <w:sz w:val="20"/>
          <w:szCs w:val="20"/>
        </w:rPr>
      </w:pPr>
      <w:hyperlink r:id="rId10" w:history="1">
        <w:r w:rsidR="00B94F35" w:rsidRPr="00D44016">
          <w:rPr>
            <w:rStyle w:val="Hipervnculo"/>
            <w:rFonts w:ascii="Century Gothic" w:hAnsi="Century Gothic"/>
            <w:sz w:val="20"/>
            <w:szCs w:val="20"/>
          </w:rPr>
          <w:t>http://secoduvi.tlaxcala.gob.mx/images/ReglasManualesLineamientos/REGLAS%20DE%20OPERACION%20DEL%20FONDO%20METROPOLITANO%20EJERCICIO%202015.pdf</w:t>
        </w:r>
      </w:hyperlink>
    </w:p>
    <w:p w:rsidR="00B94F35" w:rsidRDefault="00E05D43" w:rsidP="00B94F35">
      <w:pPr>
        <w:pStyle w:val="Prrafodelista"/>
        <w:jc w:val="both"/>
        <w:rPr>
          <w:rFonts w:ascii="Century Gothic" w:hAnsi="Century Gothic"/>
          <w:sz w:val="20"/>
          <w:szCs w:val="20"/>
        </w:rPr>
      </w:pPr>
      <w:hyperlink r:id="rId11" w:history="1">
        <w:r w:rsidR="00B94F35" w:rsidRPr="00D44016">
          <w:rPr>
            <w:rStyle w:val="Hipervnculo"/>
            <w:rFonts w:ascii="Century Gothic" w:hAnsi="Century Gothic"/>
            <w:sz w:val="20"/>
            <w:szCs w:val="20"/>
          </w:rPr>
          <w:t>http://secoduvi.tlaxcala.gob.mx/images/ReglasManualesLineamientos/REGLAS%20DE%20OPERACION%20DEL%20FONDO%20METROPOLITANO%20EJERCICIO%202016.pdf</w:t>
        </w:r>
      </w:hyperlink>
    </w:p>
    <w:p w:rsidR="00B94F35" w:rsidRDefault="00B94F35" w:rsidP="00B94F35">
      <w:pPr>
        <w:pStyle w:val="Prrafodelista"/>
        <w:jc w:val="both"/>
        <w:rPr>
          <w:rFonts w:ascii="Century Gothic" w:hAnsi="Century Gothic"/>
          <w:sz w:val="20"/>
          <w:szCs w:val="20"/>
        </w:rPr>
      </w:pPr>
    </w:p>
    <w:p w:rsidR="00B94F35" w:rsidRPr="0074654A" w:rsidRDefault="00B94F35" w:rsidP="00B94F35">
      <w:pPr>
        <w:pStyle w:val="Prrafodelista"/>
        <w:jc w:val="both"/>
        <w:rPr>
          <w:rFonts w:ascii="Century Gothic" w:hAnsi="Century Gothic"/>
          <w:sz w:val="20"/>
          <w:szCs w:val="20"/>
        </w:rPr>
      </w:pPr>
    </w:p>
    <w:p w:rsidR="00B94F35" w:rsidRPr="00E6340B" w:rsidRDefault="00B94F35" w:rsidP="00B94F35">
      <w:pPr>
        <w:pStyle w:val="Prrafodelista"/>
        <w:jc w:val="both"/>
        <w:rPr>
          <w:rFonts w:ascii="Century Gothic" w:hAnsi="Century Gothic"/>
          <w:sz w:val="16"/>
          <w:szCs w:val="16"/>
        </w:rPr>
      </w:pPr>
    </w:p>
    <w:p w:rsidR="001D2C8C" w:rsidRPr="005523C9" w:rsidRDefault="001D2C8C" w:rsidP="00B94F35">
      <w:pPr>
        <w:pStyle w:val="Texto"/>
        <w:spacing w:line="252" w:lineRule="exact"/>
        <w:ind w:firstLine="0"/>
        <w:jc w:val="left"/>
        <w:rPr>
          <w:b/>
          <w:sz w:val="16"/>
          <w:szCs w:val="16"/>
        </w:rPr>
      </w:pPr>
    </w:p>
    <w:p w:rsidR="001D2C8C" w:rsidRPr="005523C9" w:rsidRDefault="001D2C8C" w:rsidP="00C55B29">
      <w:pPr>
        <w:pStyle w:val="Texto"/>
        <w:spacing w:line="252" w:lineRule="exact"/>
        <w:ind w:firstLine="0"/>
        <w:rPr>
          <w:b/>
          <w:sz w:val="16"/>
          <w:szCs w:val="16"/>
        </w:rPr>
      </w:pPr>
    </w:p>
    <w:p w:rsidR="001D2C8C" w:rsidRPr="005523C9" w:rsidRDefault="001D2C8C" w:rsidP="008E19F3">
      <w:pPr>
        <w:pStyle w:val="Texto"/>
        <w:spacing w:line="252" w:lineRule="exact"/>
        <w:ind w:firstLine="0"/>
        <w:jc w:val="center"/>
        <w:rPr>
          <w:b/>
          <w:sz w:val="16"/>
          <w:szCs w:val="16"/>
        </w:rPr>
      </w:pPr>
    </w:p>
    <w:p w:rsidR="001D2C8C" w:rsidRPr="005523C9" w:rsidRDefault="001D2C8C" w:rsidP="008E19F3">
      <w:pPr>
        <w:pStyle w:val="Texto"/>
        <w:spacing w:line="252" w:lineRule="exact"/>
        <w:ind w:firstLine="0"/>
        <w:jc w:val="center"/>
        <w:rPr>
          <w:b/>
          <w:sz w:val="16"/>
          <w:szCs w:val="16"/>
        </w:rPr>
      </w:pPr>
    </w:p>
    <w:p w:rsidR="001D2C8C" w:rsidRDefault="001D2C8C" w:rsidP="008E19F3">
      <w:pPr>
        <w:pStyle w:val="Texto"/>
        <w:spacing w:line="252" w:lineRule="exact"/>
        <w:ind w:firstLine="0"/>
        <w:jc w:val="center"/>
        <w:rPr>
          <w:b/>
          <w:szCs w:val="18"/>
        </w:rPr>
      </w:pPr>
    </w:p>
    <w:p w:rsidR="001D2C8C" w:rsidRDefault="001D2C8C" w:rsidP="008E19F3">
      <w:pPr>
        <w:pStyle w:val="Texto"/>
        <w:spacing w:line="252" w:lineRule="exact"/>
        <w:ind w:firstLine="0"/>
        <w:jc w:val="center"/>
        <w:rPr>
          <w:b/>
          <w:szCs w:val="18"/>
        </w:rPr>
      </w:pPr>
    </w:p>
    <w:p w:rsidR="001D2C8C" w:rsidRDefault="001D2C8C" w:rsidP="00C55B29">
      <w:pPr>
        <w:pStyle w:val="Texto"/>
        <w:spacing w:line="252" w:lineRule="exact"/>
        <w:ind w:firstLine="0"/>
        <w:rPr>
          <w:b/>
          <w:szCs w:val="18"/>
        </w:rPr>
      </w:pPr>
    </w:p>
    <w:p w:rsidR="001D2C8C" w:rsidRDefault="001D2C8C" w:rsidP="008E19F3">
      <w:pPr>
        <w:pStyle w:val="Texto"/>
        <w:spacing w:line="252" w:lineRule="exact"/>
        <w:ind w:firstLine="0"/>
        <w:jc w:val="center"/>
        <w:rPr>
          <w:b/>
          <w:szCs w:val="18"/>
        </w:rPr>
      </w:pPr>
    </w:p>
    <w:sectPr w:rsidR="001D2C8C" w:rsidSect="00105E12">
      <w:headerReference w:type="default" r:id="rId12"/>
      <w:pgSz w:w="20160" w:h="12240" w:orient="landscape" w:code="5"/>
      <w:pgMar w:top="1701" w:right="1235" w:bottom="1701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5D43" w:rsidRDefault="00E05D43" w:rsidP="0003382F">
      <w:r>
        <w:separator/>
      </w:r>
    </w:p>
  </w:endnote>
  <w:endnote w:type="continuationSeparator" w:id="0">
    <w:p w:rsidR="00E05D43" w:rsidRDefault="00E05D43" w:rsidP="00033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5D43" w:rsidRDefault="00E05D43" w:rsidP="0003382F">
      <w:r>
        <w:separator/>
      </w:r>
    </w:p>
  </w:footnote>
  <w:footnote w:type="continuationSeparator" w:id="0">
    <w:p w:rsidR="00E05D43" w:rsidRDefault="00E05D43" w:rsidP="000338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82F" w:rsidRDefault="0003382F" w:rsidP="0003382F">
    <w:pPr>
      <w:pStyle w:val="Encabezado"/>
      <w:jc w:val="right"/>
    </w:pPr>
    <w:r>
      <w:rPr>
        <w:noProof/>
        <w:lang w:val="es-MX"/>
      </w:rPr>
      <w:drawing>
        <wp:anchor distT="0" distB="0" distL="114300" distR="114300" simplePos="0" relativeHeight="251659264" behindDoc="0" locked="0" layoutInCell="1" allowOverlap="1" wp14:anchorId="7CFF0B47" wp14:editId="5F609907">
          <wp:simplePos x="0" y="0"/>
          <wp:positionH relativeFrom="column">
            <wp:posOffset>-3175</wp:posOffset>
          </wp:positionH>
          <wp:positionV relativeFrom="paragraph">
            <wp:posOffset>67945</wp:posOffset>
          </wp:positionV>
          <wp:extent cx="1752600" cy="354330"/>
          <wp:effectExtent l="0" t="0" r="0" b="762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0 Imagen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354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MX"/>
      </w:rPr>
      <w:drawing>
        <wp:inline distT="0" distB="0" distL="0" distR="0" wp14:anchorId="17DB93A9" wp14:editId="5DBC865F">
          <wp:extent cx="1752600" cy="367471"/>
          <wp:effectExtent l="0" t="0" r="0" b="0"/>
          <wp:docPr id="5" name="Imagen 5" descr="C:\Users\DTED\Downloads\SPF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TED\Downloads\SPF (1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4360" cy="36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3382F" w:rsidRDefault="0003382F" w:rsidP="0003382F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83420"/>
    <w:multiLevelType w:val="multilevel"/>
    <w:tmpl w:val="CBC27B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04D9155B"/>
    <w:multiLevelType w:val="hybridMultilevel"/>
    <w:tmpl w:val="048A6F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F2F04"/>
    <w:multiLevelType w:val="hybridMultilevel"/>
    <w:tmpl w:val="C8E6D3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BF56EF06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673B07"/>
    <w:multiLevelType w:val="hybridMultilevel"/>
    <w:tmpl w:val="F63286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7234F3"/>
    <w:multiLevelType w:val="hybridMultilevel"/>
    <w:tmpl w:val="108E9A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B02920"/>
    <w:multiLevelType w:val="hybridMultilevel"/>
    <w:tmpl w:val="CBE81BD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F343BA6"/>
    <w:multiLevelType w:val="hybridMultilevel"/>
    <w:tmpl w:val="0D7EF1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423397"/>
    <w:multiLevelType w:val="hybridMultilevel"/>
    <w:tmpl w:val="D600616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DB0C19"/>
    <w:multiLevelType w:val="hybridMultilevel"/>
    <w:tmpl w:val="0FAA39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5E287D"/>
    <w:multiLevelType w:val="hybridMultilevel"/>
    <w:tmpl w:val="17FA5A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8B5141"/>
    <w:multiLevelType w:val="hybridMultilevel"/>
    <w:tmpl w:val="7D12AA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B60905"/>
    <w:multiLevelType w:val="hybridMultilevel"/>
    <w:tmpl w:val="52EA52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7C3722"/>
    <w:multiLevelType w:val="hybridMultilevel"/>
    <w:tmpl w:val="8E2211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3A5F95"/>
    <w:multiLevelType w:val="hybridMultilevel"/>
    <w:tmpl w:val="2962FAA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707556"/>
    <w:multiLevelType w:val="multilevel"/>
    <w:tmpl w:val="63A4F6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>
    <w:nsid w:val="683459E0"/>
    <w:multiLevelType w:val="hybridMultilevel"/>
    <w:tmpl w:val="E6723A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9170BA"/>
    <w:multiLevelType w:val="hybridMultilevel"/>
    <w:tmpl w:val="C956A5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3"/>
  </w:num>
  <w:num w:numId="4">
    <w:abstractNumId w:val="10"/>
  </w:num>
  <w:num w:numId="5">
    <w:abstractNumId w:val="1"/>
  </w:num>
  <w:num w:numId="6">
    <w:abstractNumId w:val="8"/>
  </w:num>
  <w:num w:numId="7">
    <w:abstractNumId w:val="6"/>
  </w:num>
  <w:num w:numId="8">
    <w:abstractNumId w:val="13"/>
  </w:num>
  <w:num w:numId="9">
    <w:abstractNumId w:val="9"/>
  </w:num>
  <w:num w:numId="10">
    <w:abstractNumId w:val="16"/>
  </w:num>
  <w:num w:numId="11">
    <w:abstractNumId w:val="4"/>
  </w:num>
  <w:num w:numId="12">
    <w:abstractNumId w:val="11"/>
  </w:num>
  <w:num w:numId="13">
    <w:abstractNumId w:val="14"/>
  </w:num>
  <w:num w:numId="14">
    <w:abstractNumId w:val="2"/>
  </w:num>
  <w:num w:numId="15">
    <w:abstractNumId w:val="12"/>
  </w:num>
  <w:num w:numId="16">
    <w:abstractNumId w:val="7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9F3"/>
    <w:rsid w:val="0000073A"/>
    <w:rsid w:val="00007AE6"/>
    <w:rsid w:val="0003382F"/>
    <w:rsid w:val="00064DFF"/>
    <w:rsid w:val="00105E12"/>
    <w:rsid w:val="00127557"/>
    <w:rsid w:val="00171994"/>
    <w:rsid w:val="0017204E"/>
    <w:rsid w:val="001759FD"/>
    <w:rsid w:val="001D2AA1"/>
    <w:rsid w:val="001D2C8C"/>
    <w:rsid w:val="001F60EE"/>
    <w:rsid w:val="00211F0A"/>
    <w:rsid w:val="002A2AB7"/>
    <w:rsid w:val="002D71AE"/>
    <w:rsid w:val="002F3DED"/>
    <w:rsid w:val="00333A02"/>
    <w:rsid w:val="00341035"/>
    <w:rsid w:val="00364ACF"/>
    <w:rsid w:val="004071E8"/>
    <w:rsid w:val="00424332"/>
    <w:rsid w:val="00437D2A"/>
    <w:rsid w:val="00441AB7"/>
    <w:rsid w:val="004B2EFC"/>
    <w:rsid w:val="00506920"/>
    <w:rsid w:val="0052412D"/>
    <w:rsid w:val="00527FB2"/>
    <w:rsid w:val="005523C9"/>
    <w:rsid w:val="005728CE"/>
    <w:rsid w:val="00630FC9"/>
    <w:rsid w:val="00662783"/>
    <w:rsid w:val="00662AD1"/>
    <w:rsid w:val="006B7C93"/>
    <w:rsid w:val="00720B54"/>
    <w:rsid w:val="007543A3"/>
    <w:rsid w:val="00754646"/>
    <w:rsid w:val="007A6053"/>
    <w:rsid w:val="007C4C2F"/>
    <w:rsid w:val="00821D3D"/>
    <w:rsid w:val="0086262D"/>
    <w:rsid w:val="00864F1B"/>
    <w:rsid w:val="008E19F3"/>
    <w:rsid w:val="00905341"/>
    <w:rsid w:val="00943DE7"/>
    <w:rsid w:val="00975BEF"/>
    <w:rsid w:val="00A030FD"/>
    <w:rsid w:val="00A50C6E"/>
    <w:rsid w:val="00A663E8"/>
    <w:rsid w:val="00A8050F"/>
    <w:rsid w:val="00A92AB2"/>
    <w:rsid w:val="00AA0C30"/>
    <w:rsid w:val="00AC4120"/>
    <w:rsid w:val="00B25390"/>
    <w:rsid w:val="00B3509D"/>
    <w:rsid w:val="00B35FCB"/>
    <w:rsid w:val="00B66195"/>
    <w:rsid w:val="00B91F80"/>
    <w:rsid w:val="00B94F35"/>
    <w:rsid w:val="00BA44D1"/>
    <w:rsid w:val="00BD3432"/>
    <w:rsid w:val="00C01353"/>
    <w:rsid w:val="00C0333C"/>
    <w:rsid w:val="00C14F02"/>
    <w:rsid w:val="00C37CC8"/>
    <w:rsid w:val="00C47C24"/>
    <w:rsid w:val="00C55B29"/>
    <w:rsid w:val="00D15BE4"/>
    <w:rsid w:val="00D20674"/>
    <w:rsid w:val="00D2727A"/>
    <w:rsid w:val="00D35DC5"/>
    <w:rsid w:val="00D51AE3"/>
    <w:rsid w:val="00D74625"/>
    <w:rsid w:val="00DB10E0"/>
    <w:rsid w:val="00DD3F80"/>
    <w:rsid w:val="00E05D43"/>
    <w:rsid w:val="00E75B0B"/>
    <w:rsid w:val="00E83EC7"/>
    <w:rsid w:val="00E97343"/>
    <w:rsid w:val="00EB281E"/>
    <w:rsid w:val="00ED6FDB"/>
    <w:rsid w:val="00F141D0"/>
    <w:rsid w:val="00F36331"/>
    <w:rsid w:val="00F460F4"/>
    <w:rsid w:val="00F57564"/>
    <w:rsid w:val="00F8107A"/>
    <w:rsid w:val="00FA5330"/>
    <w:rsid w:val="00FF5E04"/>
    <w:rsid w:val="00FF7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19F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link w:val="TextoCar"/>
    <w:qFormat/>
    <w:rsid w:val="008E19F3"/>
    <w:pPr>
      <w:spacing w:after="101" w:line="216" w:lineRule="exact"/>
      <w:ind w:firstLine="288"/>
      <w:jc w:val="both"/>
    </w:pPr>
    <w:rPr>
      <w:rFonts w:ascii="Arial" w:hAnsi="Arial" w:cs="Arial"/>
      <w:sz w:val="18"/>
      <w:lang w:eastAsia="es-ES"/>
    </w:rPr>
  </w:style>
  <w:style w:type="character" w:customStyle="1" w:styleId="TextoCar">
    <w:name w:val="Texto Car"/>
    <w:link w:val="Texto"/>
    <w:locked/>
    <w:rsid w:val="008E19F3"/>
    <w:rPr>
      <w:rFonts w:ascii="Arial" w:eastAsia="Times New Roman" w:hAnsi="Arial" w:cs="Arial"/>
      <w:sz w:val="18"/>
      <w:szCs w:val="20"/>
      <w:lang w:val="es-ES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6B7C9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paragraph" w:styleId="Encabezado">
    <w:name w:val="header"/>
    <w:basedOn w:val="Normal"/>
    <w:link w:val="EncabezadoCar"/>
    <w:uiPriority w:val="99"/>
    <w:unhideWhenUsed/>
    <w:rsid w:val="0003382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3382F"/>
    <w:rPr>
      <w:rFonts w:ascii="Times New Roman" w:eastAsia="Times New Roman" w:hAnsi="Times New Roman" w:cs="Times New Roman"/>
      <w:sz w:val="24"/>
      <w:szCs w:val="20"/>
      <w:lang w:val="es-ES" w:eastAsia="es-MX"/>
    </w:rPr>
  </w:style>
  <w:style w:type="paragraph" w:styleId="Piedepgina">
    <w:name w:val="footer"/>
    <w:basedOn w:val="Normal"/>
    <w:link w:val="PiedepginaCar"/>
    <w:uiPriority w:val="99"/>
    <w:unhideWhenUsed/>
    <w:rsid w:val="0003382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3382F"/>
    <w:rPr>
      <w:rFonts w:ascii="Times New Roman" w:eastAsia="Times New Roman" w:hAnsi="Times New Roman" w:cs="Times New Roman"/>
      <w:sz w:val="24"/>
      <w:szCs w:val="20"/>
      <w:lang w:val="es-ES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3382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82F"/>
    <w:rPr>
      <w:rFonts w:ascii="Tahoma" w:eastAsia="Times New Roman" w:hAnsi="Tahoma" w:cs="Tahoma"/>
      <w:sz w:val="16"/>
      <w:szCs w:val="16"/>
      <w:lang w:val="es-ES" w:eastAsia="es-MX"/>
    </w:rPr>
  </w:style>
  <w:style w:type="paragraph" w:customStyle="1" w:styleId="NoParagraphStyle">
    <w:name w:val="[No Paragraph Style]"/>
    <w:rsid w:val="001D2C8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1D2C8C"/>
  </w:style>
  <w:style w:type="table" w:styleId="Tablaconcuadrcula">
    <w:name w:val="Table Grid"/>
    <w:basedOn w:val="Tablanormal"/>
    <w:uiPriority w:val="39"/>
    <w:rsid w:val="00F8107A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B94F35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19F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link w:val="TextoCar"/>
    <w:qFormat/>
    <w:rsid w:val="008E19F3"/>
    <w:pPr>
      <w:spacing w:after="101" w:line="216" w:lineRule="exact"/>
      <w:ind w:firstLine="288"/>
      <w:jc w:val="both"/>
    </w:pPr>
    <w:rPr>
      <w:rFonts w:ascii="Arial" w:hAnsi="Arial" w:cs="Arial"/>
      <w:sz w:val="18"/>
      <w:lang w:eastAsia="es-ES"/>
    </w:rPr>
  </w:style>
  <w:style w:type="character" w:customStyle="1" w:styleId="TextoCar">
    <w:name w:val="Texto Car"/>
    <w:link w:val="Texto"/>
    <w:locked/>
    <w:rsid w:val="008E19F3"/>
    <w:rPr>
      <w:rFonts w:ascii="Arial" w:eastAsia="Times New Roman" w:hAnsi="Arial" w:cs="Arial"/>
      <w:sz w:val="18"/>
      <w:szCs w:val="20"/>
      <w:lang w:val="es-ES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6B7C9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paragraph" w:styleId="Encabezado">
    <w:name w:val="header"/>
    <w:basedOn w:val="Normal"/>
    <w:link w:val="EncabezadoCar"/>
    <w:uiPriority w:val="99"/>
    <w:unhideWhenUsed/>
    <w:rsid w:val="0003382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3382F"/>
    <w:rPr>
      <w:rFonts w:ascii="Times New Roman" w:eastAsia="Times New Roman" w:hAnsi="Times New Roman" w:cs="Times New Roman"/>
      <w:sz w:val="24"/>
      <w:szCs w:val="20"/>
      <w:lang w:val="es-ES" w:eastAsia="es-MX"/>
    </w:rPr>
  </w:style>
  <w:style w:type="paragraph" w:styleId="Piedepgina">
    <w:name w:val="footer"/>
    <w:basedOn w:val="Normal"/>
    <w:link w:val="PiedepginaCar"/>
    <w:uiPriority w:val="99"/>
    <w:unhideWhenUsed/>
    <w:rsid w:val="0003382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3382F"/>
    <w:rPr>
      <w:rFonts w:ascii="Times New Roman" w:eastAsia="Times New Roman" w:hAnsi="Times New Roman" w:cs="Times New Roman"/>
      <w:sz w:val="24"/>
      <w:szCs w:val="20"/>
      <w:lang w:val="es-ES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3382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82F"/>
    <w:rPr>
      <w:rFonts w:ascii="Tahoma" w:eastAsia="Times New Roman" w:hAnsi="Tahoma" w:cs="Tahoma"/>
      <w:sz w:val="16"/>
      <w:szCs w:val="16"/>
      <w:lang w:val="es-ES" w:eastAsia="es-MX"/>
    </w:rPr>
  </w:style>
  <w:style w:type="paragraph" w:customStyle="1" w:styleId="NoParagraphStyle">
    <w:name w:val="[No Paragraph Style]"/>
    <w:rsid w:val="001D2C8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1D2C8C"/>
  </w:style>
  <w:style w:type="table" w:styleId="Tablaconcuadrcula">
    <w:name w:val="Table Grid"/>
    <w:basedOn w:val="Tablanormal"/>
    <w:uiPriority w:val="39"/>
    <w:rsid w:val="00F8107A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B94F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ecoduvi.tlaxcala.gob.mx/images/evaext/pae_2017.pdf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secoduvi.tlaxcala.gob.mx/images/ReglasManualesLineamientos/REGLAS%20DE%20OPERACION%20DEL%20FONDO%20METROPOLITANO%20EJERCICIO%202016.pdf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secoduvi.tlaxcala.gob.mx/images/ReglasManualesLineamientos/REGLAS%20DE%20OPERACION%20DEL%20FONDO%20METROPOLITANO%20EJERCICIO%202015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ecoduvi.tlaxcala.gob.mx/index.php/2015-07-17-23-00-01/fondo-metro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3</Pages>
  <Words>885</Words>
  <Characters>4872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Alfredo Alfonso Nava Morales</dc:creator>
  <cp:keywords/>
  <dc:description/>
  <cp:lastModifiedBy>FINANZAS</cp:lastModifiedBy>
  <cp:revision>38</cp:revision>
  <cp:lastPrinted>2018-04-11T23:05:00Z</cp:lastPrinted>
  <dcterms:created xsi:type="dcterms:W3CDTF">2017-03-15T23:36:00Z</dcterms:created>
  <dcterms:modified xsi:type="dcterms:W3CDTF">2018-04-12T14:19:00Z</dcterms:modified>
</cp:coreProperties>
</file>