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0E" w:rsidRPr="005D3B0E" w:rsidRDefault="005D3B0E" w:rsidP="005D3B0E">
      <w:pPr>
        <w:pStyle w:val="Texto"/>
        <w:spacing w:line="252" w:lineRule="exact"/>
        <w:ind w:firstLine="0"/>
        <w:jc w:val="center"/>
        <w:rPr>
          <w:b/>
          <w:color w:val="000000"/>
          <w:szCs w:val="18"/>
          <w:lang w:eastAsia="es-MX"/>
        </w:rPr>
      </w:pPr>
      <w:r w:rsidRPr="005D3B0E">
        <w:rPr>
          <w:b/>
          <w:color w:val="000000"/>
          <w:szCs w:val="18"/>
          <w:lang w:eastAsia="es-MX"/>
        </w:rPr>
        <w:t>SEGUIMIENTO DE EVALUACIONES</w:t>
      </w:r>
    </w:p>
    <w:p w:rsidR="005D3B0E" w:rsidRPr="005D3B0E" w:rsidRDefault="005D3B0E" w:rsidP="005D3B0E">
      <w:pPr>
        <w:pStyle w:val="Texto"/>
        <w:spacing w:after="0" w:line="240" w:lineRule="auto"/>
        <w:ind w:firstLine="0"/>
        <w:jc w:val="center"/>
        <w:rPr>
          <w:b/>
          <w:color w:val="000000"/>
          <w:szCs w:val="18"/>
          <w:lang w:eastAsia="es-MX"/>
        </w:rPr>
      </w:pPr>
      <w:r w:rsidRPr="005D3B0E">
        <w:rPr>
          <w:b/>
          <w:color w:val="000000"/>
          <w:szCs w:val="18"/>
          <w:lang w:eastAsia="es-MX"/>
        </w:rPr>
        <w:t>Evaluación Especifica del Desempeño del Fideicomiso para la Infraestructura en los Estados del Ramo 23</w:t>
      </w:r>
    </w:p>
    <w:p w:rsidR="005D3B0E" w:rsidRDefault="005D3B0E" w:rsidP="005D3B0E">
      <w:pPr>
        <w:pStyle w:val="Texto"/>
        <w:spacing w:after="0" w:line="240" w:lineRule="auto"/>
        <w:ind w:firstLine="0"/>
        <w:jc w:val="center"/>
        <w:rPr>
          <w:b/>
          <w:color w:val="000000"/>
          <w:szCs w:val="18"/>
          <w:lang w:eastAsia="es-MX"/>
        </w:rPr>
      </w:pPr>
      <w:r w:rsidRPr="005D3B0E">
        <w:rPr>
          <w:b/>
          <w:color w:val="000000"/>
          <w:szCs w:val="18"/>
          <w:lang w:eastAsia="es-MX"/>
        </w:rPr>
        <w:t>Provisiones Salariales y Económicas del Estado de Tlaxcala (FIES) 2016</w:t>
      </w:r>
    </w:p>
    <w:p w:rsidR="005D3B0E" w:rsidRPr="005D3B0E" w:rsidRDefault="005D3B0E" w:rsidP="005D3B0E">
      <w:pPr>
        <w:pStyle w:val="Texto"/>
        <w:spacing w:after="0" w:line="240" w:lineRule="auto"/>
        <w:ind w:firstLine="0"/>
        <w:jc w:val="center"/>
        <w:rPr>
          <w:b/>
          <w:color w:val="000000"/>
          <w:szCs w:val="18"/>
          <w:lang w:eastAsia="es-MX"/>
        </w:rPr>
      </w:pPr>
    </w:p>
    <w:tbl>
      <w:tblPr>
        <w:tblStyle w:val="Tablaconcuadrcula5"/>
        <w:tblW w:w="0" w:type="auto"/>
        <w:jc w:val="center"/>
        <w:tblLook w:val="04A0" w:firstRow="1" w:lastRow="0" w:firstColumn="1" w:lastColumn="0" w:noHBand="0" w:noVBand="1"/>
      </w:tblPr>
      <w:tblGrid>
        <w:gridCol w:w="1175"/>
        <w:gridCol w:w="3645"/>
        <w:gridCol w:w="3685"/>
        <w:gridCol w:w="2790"/>
        <w:gridCol w:w="1819"/>
        <w:gridCol w:w="1819"/>
        <w:gridCol w:w="1819"/>
      </w:tblGrid>
      <w:tr w:rsidR="00F8498B" w:rsidRPr="005D3B0E" w:rsidTr="00816DA9">
        <w:trPr>
          <w:trHeight w:val="540"/>
          <w:tblHeader/>
          <w:jc w:val="center"/>
        </w:trPr>
        <w:tc>
          <w:tcPr>
            <w:tcW w:w="1175" w:type="dxa"/>
            <w:shd w:val="clear" w:color="auto" w:fill="003366"/>
            <w:vAlign w:val="center"/>
            <w:hideMark/>
          </w:tcPr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PARÁMETRO</w:t>
            </w:r>
          </w:p>
        </w:tc>
        <w:tc>
          <w:tcPr>
            <w:tcW w:w="3645" w:type="dxa"/>
            <w:shd w:val="clear" w:color="auto" w:fill="003366"/>
            <w:noWrap/>
            <w:vAlign w:val="center"/>
            <w:hideMark/>
          </w:tcPr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Áreas Susceptibles de Mejora</w:t>
            </w:r>
          </w:p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(ASM)</w:t>
            </w:r>
          </w:p>
        </w:tc>
        <w:tc>
          <w:tcPr>
            <w:tcW w:w="3685" w:type="dxa"/>
            <w:shd w:val="clear" w:color="auto" w:fill="003366"/>
            <w:noWrap/>
            <w:vAlign w:val="center"/>
            <w:hideMark/>
          </w:tcPr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RECOMENDACIONES</w:t>
            </w:r>
          </w:p>
        </w:tc>
        <w:tc>
          <w:tcPr>
            <w:tcW w:w="2790" w:type="dxa"/>
            <w:shd w:val="clear" w:color="auto" w:fill="003366"/>
          </w:tcPr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SEGUIMIENTO</w:t>
            </w:r>
          </w:p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1819" w:type="dxa"/>
            <w:shd w:val="clear" w:color="auto" w:fill="003366"/>
          </w:tcPr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OBSERVACIONES</w:t>
            </w:r>
          </w:p>
        </w:tc>
        <w:tc>
          <w:tcPr>
            <w:tcW w:w="1819" w:type="dxa"/>
            <w:shd w:val="clear" w:color="auto" w:fill="003366"/>
          </w:tcPr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  <w:t xml:space="preserve">MEJORA </w:t>
            </w:r>
          </w:p>
        </w:tc>
        <w:tc>
          <w:tcPr>
            <w:tcW w:w="1819" w:type="dxa"/>
            <w:shd w:val="clear" w:color="auto" w:fill="003366"/>
          </w:tcPr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  <w:p w:rsidR="00F8498B" w:rsidRPr="005D3B0E" w:rsidRDefault="00F8498B" w:rsidP="00BE6446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AVANCE</w:t>
            </w:r>
          </w:p>
        </w:tc>
      </w:tr>
      <w:tr w:rsidR="00F8498B" w:rsidRPr="005D3B0E" w:rsidTr="00816DA9">
        <w:trPr>
          <w:trHeight w:val="15"/>
          <w:jc w:val="center"/>
        </w:trPr>
        <w:tc>
          <w:tcPr>
            <w:tcW w:w="1175" w:type="dxa"/>
            <w:noWrap/>
            <w:vAlign w:val="center"/>
            <w:hideMark/>
          </w:tcPr>
          <w:p w:rsidR="00F8498B" w:rsidRPr="005D3B0E" w:rsidRDefault="00F8498B" w:rsidP="00F8498B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Indicadores</w:t>
            </w:r>
          </w:p>
        </w:tc>
        <w:tc>
          <w:tcPr>
            <w:tcW w:w="3645" w:type="dxa"/>
            <w:vAlign w:val="center"/>
            <w:hideMark/>
          </w:tcPr>
          <w:p w:rsidR="00F8498B" w:rsidRPr="005D3B0E" w:rsidRDefault="00F8498B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No cuenta con indicadores de gestión ni de resultados</w:t>
            </w:r>
          </w:p>
          <w:p w:rsidR="00F8498B" w:rsidRPr="005D3B0E" w:rsidRDefault="00F8498B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</w:p>
        </w:tc>
        <w:tc>
          <w:tcPr>
            <w:tcW w:w="3685" w:type="dxa"/>
            <w:vAlign w:val="center"/>
            <w:hideMark/>
          </w:tcPr>
          <w:p w:rsidR="00F8498B" w:rsidRPr="005D3B0E" w:rsidRDefault="00F8498B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Crear un tablero de control con indicadores de gestión y de resultados para evaluar el desempeño del Fondo.</w:t>
            </w:r>
          </w:p>
        </w:tc>
        <w:tc>
          <w:tcPr>
            <w:tcW w:w="2790" w:type="dxa"/>
          </w:tcPr>
          <w:p w:rsidR="00F8498B" w:rsidRPr="005D3B0E" w:rsidRDefault="00F8498B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20445B" w:rsidRPr="005D3B0E" w:rsidRDefault="0020445B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20445B" w:rsidRPr="005D3B0E" w:rsidRDefault="0020445B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Solventan con oficio no. SEC-DA-1827-2016 dirigido a la SPF, en el cual informan que se entregó la parte programática </w:t>
            </w:r>
            <w:r w:rsidR="007F2E05"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que incluye los formatos de Fichas de Indicadores del FIES. </w:t>
            </w:r>
          </w:p>
          <w:p w:rsidR="007F2E05" w:rsidRPr="005D3B0E" w:rsidRDefault="007F2E05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7F2E05" w:rsidRPr="005D3B0E" w:rsidRDefault="007F2E05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En razón de lo anterior, propondrán a la SPF establecer un mecanismo para que ambas dependencias analicen y evalúen de forma metodológica la MIR que actualmente </w:t>
            </w:r>
            <w:r w:rsidR="002E2B1F"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>existe para el FIES</w:t>
            </w: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 y se genere una mejora de la misma.</w:t>
            </w:r>
          </w:p>
          <w:p w:rsidR="00F8498B" w:rsidRPr="005D3B0E" w:rsidRDefault="00F8498B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F8498B" w:rsidRPr="005D3B0E" w:rsidRDefault="00F8498B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F8498B" w:rsidRPr="005D3B0E" w:rsidRDefault="00F8498B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F8498B" w:rsidRPr="005D3B0E" w:rsidRDefault="00F8498B" w:rsidP="00663C4B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</w:p>
        </w:tc>
        <w:tc>
          <w:tcPr>
            <w:tcW w:w="1819" w:type="dxa"/>
          </w:tcPr>
          <w:p w:rsidR="002E2B1F" w:rsidRPr="005D3B0E" w:rsidRDefault="002E2B1F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2E2B1F" w:rsidRPr="005D3B0E" w:rsidRDefault="002E2B1F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F8498B" w:rsidRPr="005D3B0E" w:rsidRDefault="002E2B1F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Anexan acuse de oficio </w:t>
            </w:r>
          </w:p>
          <w:p w:rsidR="00F8498B" w:rsidRPr="005D3B0E" w:rsidRDefault="00F8498B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>SEC-DA-1827-2016</w:t>
            </w:r>
            <w:r w:rsidR="002E2B1F"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, la información obra en la Dirección de Presupuesto. </w:t>
            </w:r>
          </w:p>
        </w:tc>
        <w:tc>
          <w:tcPr>
            <w:tcW w:w="1819" w:type="dxa"/>
          </w:tcPr>
          <w:p w:rsidR="00F8498B" w:rsidRPr="005D3B0E" w:rsidRDefault="00F8498B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         ATENDIDO</w:t>
            </w:r>
          </w:p>
        </w:tc>
        <w:tc>
          <w:tcPr>
            <w:tcW w:w="1819" w:type="dxa"/>
          </w:tcPr>
          <w:p w:rsidR="00146753" w:rsidRPr="005D3B0E" w:rsidRDefault="00146753" w:rsidP="00BE6446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146753">
            <w:pPr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146753" w:rsidRPr="005D3B0E" w:rsidRDefault="00146753" w:rsidP="00146753">
            <w:pPr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146753" w:rsidRPr="005D3B0E" w:rsidRDefault="00146753" w:rsidP="00146753">
            <w:pPr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146753" w:rsidRPr="005D3B0E" w:rsidRDefault="00146753" w:rsidP="00146753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F8498B" w:rsidRPr="005D3B0E" w:rsidRDefault="00146753" w:rsidP="00146753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  <w:t>100</w:t>
            </w:r>
          </w:p>
        </w:tc>
        <w:bookmarkStart w:id="0" w:name="_GoBack"/>
        <w:bookmarkEnd w:id="0"/>
      </w:tr>
      <w:tr w:rsidR="00146753" w:rsidRPr="005D3B0E" w:rsidTr="00816DA9">
        <w:trPr>
          <w:trHeight w:val="270"/>
          <w:jc w:val="center"/>
        </w:trPr>
        <w:tc>
          <w:tcPr>
            <w:tcW w:w="1175" w:type="dxa"/>
            <w:noWrap/>
            <w:vAlign w:val="center"/>
            <w:hideMark/>
          </w:tcPr>
          <w:p w:rsidR="00146753" w:rsidRPr="005D3B0E" w:rsidRDefault="00146753" w:rsidP="00F8498B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MIR</w:t>
            </w:r>
          </w:p>
        </w:tc>
        <w:tc>
          <w:tcPr>
            <w:tcW w:w="3645" w:type="dxa"/>
            <w:vAlign w:val="center"/>
            <w:hideMark/>
          </w:tcPr>
          <w:p w:rsidR="00146753" w:rsidRPr="005D3B0E" w:rsidRDefault="00146753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El Fideicomiso no cuenta con una MIR</w:t>
            </w:r>
          </w:p>
        </w:tc>
        <w:tc>
          <w:tcPr>
            <w:tcW w:w="3685" w:type="dxa"/>
            <w:vAlign w:val="center"/>
            <w:hideMark/>
          </w:tcPr>
          <w:p w:rsidR="00146753" w:rsidRPr="005D3B0E" w:rsidRDefault="00146753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Generar un proyecto de MIR</w:t>
            </w:r>
          </w:p>
        </w:tc>
        <w:tc>
          <w:tcPr>
            <w:tcW w:w="2790" w:type="dxa"/>
          </w:tcPr>
          <w:p w:rsidR="00146753" w:rsidRPr="005D3B0E" w:rsidRDefault="00146753" w:rsidP="002E2B1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Solventan con oficio no. SEC-DA-1827-2016 dirigido a la SPF, en el cual informan que se entregó la parte programática que incluye los formatos de Fichas de Indicadores del FIES. </w:t>
            </w:r>
          </w:p>
          <w:p w:rsidR="00146753" w:rsidRPr="005D3B0E" w:rsidRDefault="00146753" w:rsidP="002E2B1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2E2B1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>En razón de lo anterior, propondrán a la SPF establecer un mecanismo para que ambas dependencias analicen y evalúen de forma metodológica la MIR que actualmente existe para el FIES y se genere una mejora de la misma.</w:t>
            </w:r>
          </w:p>
          <w:p w:rsidR="00146753" w:rsidRPr="005D3B0E" w:rsidRDefault="00146753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</w:p>
        </w:tc>
        <w:tc>
          <w:tcPr>
            <w:tcW w:w="1819" w:type="dxa"/>
          </w:tcPr>
          <w:p w:rsidR="00146753" w:rsidRPr="005D3B0E" w:rsidRDefault="00146753" w:rsidP="002E2B1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Anexan acuse de oficio </w:t>
            </w:r>
          </w:p>
          <w:p w:rsidR="00146753" w:rsidRPr="005D3B0E" w:rsidRDefault="00146753" w:rsidP="002E2B1F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>SEC-DA-1827-2016, la información obra en la Dirección de Presupuesto.</w:t>
            </w:r>
          </w:p>
        </w:tc>
        <w:tc>
          <w:tcPr>
            <w:tcW w:w="1819" w:type="dxa"/>
          </w:tcPr>
          <w:p w:rsidR="00146753" w:rsidRPr="005D3B0E" w:rsidRDefault="00146753" w:rsidP="000D4BF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         ATENDIDO</w:t>
            </w:r>
          </w:p>
        </w:tc>
        <w:tc>
          <w:tcPr>
            <w:tcW w:w="1819" w:type="dxa"/>
          </w:tcPr>
          <w:p w:rsidR="00146753" w:rsidRPr="005D3B0E" w:rsidRDefault="00146753" w:rsidP="000D4BF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146753" w:rsidRPr="005D3B0E" w:rsidRDefault="00146753" w:rsidP="000D4BFF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  <w:t>100</w:t>
            </w:r>
          </w:p>
        </w:tc>
      </w:tr>
      <w:tr w:rsidR="00146753" w:rsidRPr="005D3B0E" w:rsidTr="00816DA9">
        <w:trPr>
          <w:trHeight w:val="540"/>
          <w:jc w:val="center"/>
        </w:trPr>
        <w:tc>
          <w:tcPr>
            <w:tcW w:w="1175" w:type="dxa"/>
            <w:noWrap/>
            <w:vAlign w:val="center"/>
            <w:hideMark/>
          </w:tcPr>
          <w:p w:rsidR="00146753" w:rsidRPr="005D3B0E" w:rsidRDefault="00146753" w:rsidP="00F8498B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Cobertura</w:t>
            </w:r>
          </w:p>
        </w:tc>
        <w:tc>
          <w:tcPr>
            <w:tcW w:w="3645" w:type="dxa"/>
            <w:vAlign w:val="center"/>
            <w:hideMark/>
          </w:tcPr>
          <w:p w:rsidR="00146753" w:rsidRPr="005D3B0E" w:rsidRDefault="00146753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No cuenta con indicadores de gestión ni de resultados</w:t>
            </w:r>
          </w:p>
        </w:tc>
        <w:tc>
          <w:tcPr>
            <w:tcW w:w="3685" w:type="dxa"/>
            <w:vAlign w:val="center"/>
            <w:hideMark/>
          </w:tcPr>
          <w:p w:rsidR="00146753" w:rsidRPr="005D3B0E" w:rsidRDefault="00146753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Crear un tablero de control con indicadores de gestión y de resultados para evaluar el desempeño del Fondo.</w:t>
            </w:r>
          </w:p>
        </w:tc>
        <w:tc>
          <w:tcPr>
            <w:tcW w:w="2790" w:type="dxa"/>
          </w:tcPr>
          <w:p w:rsidR="00146753" w:rsidRPr="005D3B0E" w:rsidRDefault="00146753" w:rsidP="00430C8E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 xml:space="preserve">Solventan con oficio no. SEC-DA-1827-2016 dirigido a la SPF, en el cual informan que se entregó la parte programática que incluye los formatos de Fichas de Indicadores del FIES. </w:t>
            </w:r>
          </w:p>
          <w:p w:rsidR="00146753" w:rsidRPr="005D3B0E" w:rsidRDefault="00146753" w:rsidP="00430C8E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430C8E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>En razón de lo anterior, propondrán a la SPF establecer un mecanismo para que ambas dependencias analicen y evalúen de forma metodológica la MIR que actualmente existe para el FIES y se genere una mejora de la misma.</w:t>
            </w:r>
          </w:p>
          <w:p w:rsidR="00146753" w:rsidRPr="005D3B0E" w:rsidRDefault="00146753" w:rsidP="00430C8E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</w:p>
        </w:tc>
        <w:tc>
          <w:tcPr>
            <w:tcW w:w="1819" w:type="dxa"/>
          </w:tcPr>
          <w:p w:rsidR="00146753" w:rsidRPr="005D3B0E" w:rsidRDefault="00146753" w:rsidP="00430C8E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lastRenderedPageBreak/>
              <w:t xml:space="preserve">Anexan acuse de oficio </w:t>
            </w:r>
          </w:p>
          <w:p w:rsidR="00146753" w:rsidRPr="005D3B0E" w:rsidRDefault="00146753" w:rsidP="00430C8E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  <w:t>SEC-DA-1827-2016, la información obra en la Dirección de Presupuesto.</w:t>
            </w:r>
          </w:p>
        </w:tc>
        <w:tc>
          <w:tcPr>
            <w:tcW w:w="1819" w:type="dxa"/>
          </w:tcPr>
          <w:p w:rsidR="00146753" w:rsidRPr="005D3B0E" w:rsidRDefault="00146753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146753">
            <w:pPr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146753" w:rsidRPr="005D3B0E" w:rsidRDefault="00146753" w:rsidP="00146753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  <w:t>ATENDIDO</w:t>
            </w:r>
          </w:p>
        </w:tc>
        <w:tc>
          <w:tcPr>
            <w:tcW w:w="1819" w:type="dxa"/>
          </w:tcPr>
          <w:p w:rsidR="00146753" w:rsidRPr="005D3B0E" w:rsidRDefault="00146753" w:rsidP="00663C4B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146753" w:rsidRPr="005D3B0E" w:rsidRDefault="00146753" w:rsidP="00146753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146753" w:rsidRPr="005D3B0E" w:rsidRDefault="00146753" w:rsidP="00146753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  <w:t>100</w:t>
            </w:r>
          </w:p>
        </w:tc>
      </w:tr>
      <w:tr w:rsidR="008A2784" w:rsidRPr="005D3B0E" w:rsidTr="00816DA9">
        <w:trPr>
          <w:trHeight w:val="810"/>
          <w:jc w:val="center"/>
        </w:trPr>
        <w:tc>
          <w:tcPr>
            <w:tcW w:w="1175" w:type="dxa"/>
            <w:noWrap/>
            <w:vAlign w:val="center"/>
            <w:hideMark/>
          </w:tcPr>
          <w:p w:rsidR="008A2784" w:rsidRPr="005D3B0E" w:rsidRDefault="008A2784" w:rsidP="00F8498B">
            <w:pPr>
              <w:jc w:val="center"/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lastRenderedPageBreak/>
              <w:t>Análisis proyectos</w:t>
            </w:r>
          </w:p>
        </w:tc>
        <w:tc>
          <w:tcPr>
            <w:tcW w:w="3645" w:type="dxa"/>
            <w:vAlign w:val="center"/>
            <w:hideMark/>
          </w:tcPr>
          <w:p w:rsidR="008A2784" w:rsidRPr="005D3B0E" w:rsidRDefault="008A2784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Existen inconsistencias en la información presentada en las notas técnicas de los proyectos, informes de avance físico/financiero y notificaciones de la SHCP a la Entidad</w:t>
            </w:r>
          </w:p>
        </w:tc>
        <w:tc>
          <w:tcPr>
            <w:tcW w:w="3685" w:type="dxa"/>
            <w:vAlign w:val="center"/>
            <w:hideMark/>
          </w:tcPr>
          <w:p w:rsidR="008A2784" w:rsidRPr="005D3B0E" w:rsidRDefault="008A2784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Verificar la información presentada en los reportes de avance con la detallada en las notas técnicas</w:t>
            </w:r>
          </w:p>
        </w:tc>
        <w:tc>
          <w:tcPr>
            <w:tcW w:w="2790" w:type="dxa"/>
          </w:tcPr>
          <w:p w:rsidR="008A2784" w:rsidRPr="005D3B0E" w:rsidRDefault="008A2784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 xml:space="preserve">Se verifica la información en las notas técnicas, informes de avance físico financiero y notificaciones de SHCP a la entidad </w:t>
            </w:r>
          </w:p>
        </w:tc>
        <w:tc>
          <w:tcPr>
            <w:tcW w:w="1819" w:type="dxa"/>
          </w:tcPr>
          <w:p w:rsidR="008A2784" w:rsidRPr="005D3B0E" w:rsidRDefault="008A2784" w:rsidP="00BE6446">
            <w:pPr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 w:cstheme="minorBidi"/>
                <w:b/>
                <w:bCs/>
                <w:color w:val="000000" w:themeColor="text1"/>
                <w:sz w:val="16"/>
                <w:szCs w:val="14"/>
                <w:lang w:eastAsia="es-MX"/>
              </w:rPr>
              <w:t>Documentar la información, que se verificará en las notas técnicas.</w:t>
            </w:r>
          </w:p>
        </w:tc>
        <w:tc>
          <w:tcPr>
            <w:tcW w:w="1819" w:type="dxa"/>
          </w:tcPr>
          <w:p w:rsidR="008A2784" w:rsidRPr="005D3B0E" w:rsidRDefault="008A2784" w:rsidP="000D4BF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8A2784" w:rsidRPr="005D3B0E" w:rsidRDefault="008A2784" w:rsidP="000D4BFF">
            <w:pPr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8A2784" w:rsidRPr="005D3B0E" w:rsidRDefault="008A2784" w:rsidP="000D4BFF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  <w:t>ATENDIDO</w:t>
            </w:r>
          </w:p>
        </w:tc>
        <w:tc>
          <w:tcPr>
            <w:tcW w:w="1819" w:type="dxa"/>
          </w:tcPr>
          <w:p w:rsidR="008A2784" w:rsidRPr="005D3B0E" w:rsidRDefault="008A2784" w:rsidP="000D4BFF">
            <w:pPr>
              <w:jc w:val="both"/>
              <w:rPr>
                <w:rFonts w:ascii="Century Gothic" w:eastAsia="Times New Roman" w:hAnsi="Century Gothic"/>
                <w:b/>
                <w:color w:val="000000"/>
                <w:sz w:val="14"/>
                <w:szCs w:val="14"/>
                <w:lang w:eastAsia="es-MX"/>
              </w:rPr>
            </w:pPr>
          </w:p>
          <w:p w:rsidR="008A2784" w:rsidRPr="005D3B0E" w:rsidRDefault="008A2784" w:rsidP="000D4BFF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</w:p>
          <w:p w:rsidR="008A2784" w:rsidRPr="005D3B0E" w:rsidRDefault="008A2784" w:rsidP="000D4BFF">
            <w:pPr>
              <w:jc w:val="center"/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</w:pPr>
            <w:r w:rsidRPr="005D3B0E">
              <w:rPr>
                <w:rFonts w:ascii="Century Gothic" w:eastAsia="Times New Roman" w:hAnsi="Century Gothic"/>
                <w:b/>
                <w:sz w:val="14"/>
                <w:szCs w:val="14"/>
                <w:lang w:eastAsia="es-MX"/>
              </w:rPr>
              <w:t>100</w:t>
            </w:r>
          </w:p>
        </w:tc>
      </w:tr>
    </w:tbl>
    <w:p w:rsidR="00495AF8" w:rsidRPr="005D3B0E" w:rsidRDefault="00495AF8">
      <w:pPr>
        <w:rPr>
          <w:b/>
        </w:rPr>
      </w:pPr>
    </w:p>
    <w:p w:rsidR="00BF30FA" w:rsidRPr="005D3B0E" w:rsidRDefault="00BF30FA">
      <w:pPr>
        <w:rPr>
          <w:b/>
        </w:rPr>
      </w:pPr>
    </w:p>
    <w:p w:rsidR="00BF30FA" w:rsidRPr="005D3B0E" w:rsidRDefault="00BF30FA">
      <w:pPr>
        <w:rPr>
          <w:b/>
        </w:rPr>
      </w:pPr>
    </w:p>
    <w:p w:rsidR="00D856D4" w:rsidRPr="005D3B0E" w:rsidRDefault="00D856D4" w:rsidP="00D856D4">
      <w:pPr>
        <w:rPr>
          <w:b/>
        </w:rPr>
      </w:pPr>
      <w:r w:rsidRPr="005D3B0E">
        <w:rPr>
          <w:b/>
        </w:rPr>
        <w:t>Página Oficial de SECODUVI:</w:t>
      </w:r>
    </w:p>
    <w:p w:rsidR="00D856D4" w:rsidRPr="005D3B0E" w:rsidRDefault="00D856D4" w:rsidP="00D856D4">
      <w:pPr>
        <w:rPr>
          <w:b/>
        </w:rPr>
      </w:pPr>
    </w:p>
    <w:p w:rsidR="00D856D4" w:rsidRPr="005D3B0E" w:rsidRDefault="00D856D4" w:rsidP="00D856D4">
      <w:pPr>
        <w:pStyle w:val="Prrafodelista"/>
        <w:numPr>
          <w:ilvl w:val="0"/>
          <w:numId w:val="2"/>
        </w:numPr>
        <w:rPr>
          <w:b/>
        </w:rPr>
      </w:pPr>
      <w:r w:rsidRPr="005D3B0E">
        <w:rPr>
          <w:b/>
        </w:rPr>
        <w:t>Definir una MIR a nivel estatal exclusiva del FAFEF, que coadyuve a robustecer el seguimiento y evaluación del Fondo.</w:t>
      </w:r>
    </w:p>
    <w:p w:rsidR="00D856D4" w:rsidRPr="005D3B0E" w:rsidRDefault="00D856D4" w:rsidP="00D856D4">
      <w:pPr>
        <w:pStyle w:val="Prrafodelista"/>
        <w:numPr>
          <w:ilvl w:val="0"/>
          <w:numId w:val="2"/>
        </w:numPr>
        <w:rPr>
          <w:b/>
        </w:rPr>
      </w:pPr>
      <w:r w:rsidRPr="005D3B0E">
        <w:rPr>
          <w:b/>
        </w:rPr>
        <w:t xml:space="preserve">En cuanto a su página oficial de la Secretaría, no están publicados: </w:t>
      </w:r>
    </w:p>
    <w:p w:rsidR="00D856D4" w:rsidRPr="005D3B0E" w:rsidRDefault="00D856D4" w:rsidP="00D856D4">
      <w:pPr>
        <w:pStyle w:val="Prrafodelista"/>
        <w:numPr>
          <w:ilvl w:val="0"/>
          <w:numId w:val="3"/>
        </w:numPr>
        <w:rPr>
          <w:b/>
        </w:rPr>
      </w:pPr>
      <w:r w:rsidRPr="005D3B0E">
        <w:rPr>
          <w:b/>
        </w:rPr>
        <w:t>Matriz de Indicadores para Resultados (MIR 2016)</w:t>
      </w:r>
    </w:p>
    <w:p w:rsidR="00D856D4" w:rsidRPr="005D3B0E" w:rsidRDefault="00D856D4" w:rsidP="00D856D4">
      <w:pPr>
        <w:pStyle w:val="Prrafodelista"/>
        <w:numPr>
          <w:ilvl w:val="0"/>
          <w:numId w:val="3"/>
        </w:numPr>
        <w:rPr>
          <w:b/>
        </w:rPr>
      </w:pPr>
      <w:r w:rsidRPr="005D3B0E">
        <w:rPr>
          <w:b/>
        </w:rPr>
        <w:t>Reporte de Indicadores</w:t>
      </w:r>
    </w:p>
    <w:p w:rsidR="00D856D4" w:rsidRPr="005D3B0E" w:rsidRDefault="00D856D4" w:rsidP="00D856D4">
      <w:pPr>
        <w:pStyle w:val="Prrafodelista"/>
        <w:ind w:left="1440"/>
        <w:rPr>
          <w:b/>
        </w:rPr>
      </w:pPr>
    </w:p>
    <w:p w:rsidR="00D856D4" w:rsidRPr="005D3B0E" w:rsidRDefault="00D856D4" w:rsidP="00D856D4">
      <w:pPr>
        <w:pStyle w:val="Prrafodelista"/>
        <w:numPr>
          <w:ilvl w:val="0"/>
          <w:numId w:val="2"/>
        </w:numPr>
        <w:rPr>
          <w:b/>
        </w:rPr>
      </w:pPr>
      <w:r w:rsidRPr="005D3B0E">
        <w:rPr>
          <w:b/>
        </w:rPr>
        <w:t>Se encuentra publicado el PAE 2017:</w:t>
      </w:r>
    </w:p>
    <w:p w:rsidR="00D856D4" w:rsidRPr="005D3B0E" w:rsidRDefault="0097681C" w:rsidP="00D856D4">
      <w:pPr>
        <w:pStyle w:val="Prrafodelista"/>
        <w:rPr>
          <w:b/>
        </w:rPr>
      </w:pPr>
      <w:hyperlink r:id="rId8" w:history="1">
        <w:r w:rsidR="00D856D4" w:rsidRPr="005D3B0E">
          <w:rPr>
            <w:rStyle w:val="Hipervnculo"/>
            <w:b/>
          </w:rPr>
          <w:t>http://secoduvi.tlaxcala.gob.mx/images/evaext/pae_2017.pdf</w:t>
        </w:r>
      </w:hyperlink>
    </w:p>
    <w:p w:rsidR="00D856D4" w:rsidRPr="005D3B0E" w:rsidRDefault="00D856D4" w:rsidP="00D856D4">
      <w:pPr>
        <w:pStyle w:val="Prrafodelista"/>
        <w:rPr>
          <w:b/>
        </w:rPr>
      </w:pPr>
    </w:p>
    <w:p w:rsidR="00D856D4" w:rsidRPr="005D3B0E" w:rsidRDefault="00D856D4" w:rsidP="00D856D4">
      <w:pPr>
        <w:pStyle w:val="Prrafodelista"/>
        <w:numPr>
          <w:ilvl w:val="0"/>
          <w:numId w:val="2"/>
        </w:numPr>
        <w:rPr>
          <w:b/>
        </w:rPr>
      </w:pPr>
      <w:r w:rsidRPr="005D3B0E">
        <w:rPr>
          <w:b/>
        </w:rPr>
        <w:t>Se visualiza la evaluación FIES 2016:</w:t>
      </w:r>
    </w:p>
    <w:p w:rsidR="00D856D4" w:rsidRPr="005D3B0E" w:rsidRDefault="0097681C" w:rsidP="00D856D4">
      <w:pPr>
        <w:pStyle w:val="Prrafodelista"/>
        <w:rPr>
          <w:b/>
        </w:rPr>
      </w:pPr>
      <w:hyperlink r:id="rId9" w:history="1">
        <w:r w:rsidR="00D856D4" w:rsidRPr="005D3B0E">
          <w:rPr>
            <w:rStyle w:val="Hipervnculo"/>
            <w:b/>
          </w:rPr>
          <w:t>http://secoduvi.tlaxcala.gob.mx/images/evaext/Evaluacion%20Integral%20FAFEF%202016%SECODUVI.pdf</w:t>
        </w:r>
      </w:hyperlink>
    </w:p>
    <w:p w:rsidR="00D856D4" w:rsidRPr="005D3B0E" w:rsidRDefault="00D856D4" w:rsidP="00D856D4">
      <w:pPr>
        <w:pStyle w:val="Prrafodelista"/>
        <w:rPr>
          <w:b/>
        </w:rPr>
      </w:pPr>
    </w:p>
    <w:p w:rsidR="00BF30FA" w:rsidRPr="005D3B0E" w:rsidRDefault="00BF30FA" w:rsidP="00FA6322">
      <w:pPr>
        <w:pStyle w:val="Prrafodelista"/>
        <w:rPr>
          <w:b/>
        </w:rPr>
      </w:pPr>
    </w:p>
    <w:sectPr w:rsidR="00BF30FA" w:rsidRPr="005D3B0E" w:rsidSect="00F8498B">
      <w:headerReference w:type="default" r:id="rId10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81C" w:rsidRDefault="0097681C" w:rsidP="000728DF">
      <w:pPr>
        <w:spacing w:line="240" w:lineRule="auto"/>
      </w:pPr>
      <w:r>
        <w:separator/>
      </w:r>
    </w:p>
  </w:endnote>
  <w:endnote w:type="continuationSeparator" w:id="0">
    <w:p w:rsidR="0097681C" w:rsidRDefault="0097681C" w:rsidP="000728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81C" w:rsidRDefault="0097681C" w:rsidP="000728DF">
      <w:pPr>
        <w:spacing w:line="240" w:lineRule="auto"/>
      </w:pPr>
      <w:r>
        <w:separator/>
      </w:r>
    </w:p>
  </w:footnote>
  <w:footnote w:type="continuationSeparator" w:id="0">
    <w:p w:rsidR="0097681C" w:rsidRDefault="0097681C" w:rsidP="000728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8DF" w:rsidRDefault="002B78F9" w:rsidP="000728D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4706DE8" wp14:editId="08352A9C">
          <wp:simplePos x="0" y="0"/>
          <wp:positionH relativeFrom="column">
            <wp:posOffset>65405</wp:posOffset>
          </wp:positionH>
          <wp:positionV relativeFrom="paragraph">
            <wp:posOffset>-45085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28DF">
      <w:t xml:space="preserve">     </w:t>
    </w:r>
    <w:r w:rsidR="00066A86">
      <w:t xml:space="preserve">                                                          </w:t>
    </w:r>
    <w:r>
      <w:t xml:space="preserve">                                         </w:t>
    </w:r>
    <w:r w:rsidR="00066A86">
      <w:t xml:space="preserve">                                               </w:t>
    </w:r>
    <w:r w:rsidR="00F8498B">
      <w:t xml:space="preserve">                                                         </w:t>
    </w:r>
    <w:r w:rsidR="00066A86">
      <w:t xml:space="preserve">    </w:t>
    </w:r>
    <w:r w:rsidR="000728DF">
      <w:t xml:space="preserve"> </w:t>
    </w:r>
    <w:r w:rsidR="00066A86">
      <w:rPr>
        <w:noProof/>
        <w:lang w:eastAsia="es-MX"/>
      </w:rPr>
      <w:drawing>
        <wp:inline distT="0" distB="0" distL="0" distR="0" wp14:anchorId="5E784989" wp14:editId="47AA0076">
          <wp:extent cx="1752600" cy="367471"/>
          <wp:effectExtent l="0" t="0" r="0" b="0"/>
          <wp:docPr id="1" name="Imagen 1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28DF" w:rsidRDefault="00066A86">
    <w:pPr>
      <w:pStyle w:val="Encabezado"/>
    </w:pP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17F6A"/>
    <w:multiLevelType w:val="hybridMultilevel"/>
    <w:tmpl w:val="A56CA55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05C66E5"/>
    <w:multiLevelType w:val="hybridMultilevel"/>
    <w:tmpl w:val="524480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114F7C"/>
    <w:multiLevelType w:val="hybridMultilevel"/>
    <w:tmpl w:val="422E636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8DF"/>
    <w:rsid w:val="00066A86"/>
    <w:rsid w:val="000728DF"/>
    <w:rsid w:val="00146753"/>
    <w:rsid w:val="0015411F"/>
    <w:rsid w:val="0020445B"/>
    <w:rsid w:val="0023062C"/>
    <w:rsid w:val="002B78F9"/>
    <w:rsid w:val="002E2B1F"/>
    <w:rsid w:val="00495AF8"/>
    <w:rsid w:val="00565633"/>
    <w:rsid w:val="005C69E1"/>
    <w:rsid w:val="005D3B0E"/>
    <w:rsid w:val="00662676"/>
    <w:rsid w:val="00663C4B"/>
    <w:rsid w:val="006E5E04"/>
    <w:rsid w:val="007F2E05"/>
    <w:rsid w:val="00816DA9"/>
    <w:rsid w:val="008A2784"/>
    <w:rsid w:val="008C540E"/>
    <w:rsid w:val="0097681C"/>
    <w:rsid w:val="00BF30FA"/>
    <w:rsid w:val="00C6743A"/>
    <w:rsid w:val="00C8165F"/>
    <w:rsid w:val="00D74F8F"/>
    <w:rsid w:val="00D856D4"/>
    <w:rsid w:val="00E50681"/>
    <w:rsid w:val="00F8498B"/>
    <w:rsid w:val="00FA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8DF"/>
    <w:pPr>
      <w:spacing w:after="0"/>
    </w:pPr>
    <w:rPr>
      <w:rFonts w:ascii="Arial" w:hAnsi="Arial" w:cs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5">
    <w:name w:val="Tabla con cuadrícula5"/>
    <w:basedOn w:val="Tablanormal"/>
    <w:next w:val="Tablaconcuadrcula"/>
    <w:uiPriority w:val="59"/>
    <w:rsid w:val="00072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072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28D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28DF"/>
    <w:rPr>
      <w:rFonts w:ascii="Arial" w:hAnsi="Arial" w:cs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0728D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8DF"/>
    <w:rPr>
      <w:rFonts w:ascii="Arial" w:hAnsi="Arial" w:cs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28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8DF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qFormat/>
    <w:rsid w:val="00066A86"/>
    <w:pPr>
      <w:spacing w:after="101" w:line="216" w:lineRule="exact"/>
      <w:ind w:firstLine="288"/>
      <w:jc w:val="both"/>
    </w:pPr>
    <w:rPr>
      <w:rFonts w:eastAsia="Times New Roman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66A86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F30F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6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8DF"/>
    <w:pPr>
      <w:spacing w:after="0"/>
    </w:pPr>
    <w:rPr>
      <w:rFonts w:ascii="Arial" w:hAnsi="Arial" w:cs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5">
    <w:name w:val="Tabla con cuadrícula5"/>
    <w:basedOn w:val="Tablanormal"/>
    <w:next w:val="Tablaconcuadrcula"/>
    <w:uiPriority w:val="59"/>
    <w:rsid w:val="00072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072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28D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28DF"/>
    <w:rPr>
      <w:rFonts w:ascii="Arial" w:hAnsi="Arial" w:cs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0728D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8DF"/>
    <w:rPr>
      <w:rFonts w:ascii="Arial" w:hAnsi="Arial" w:cs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28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8DF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qFormat/>
    <w:rsid w:val="00066A86"/>
    <w:pPr>
      <w:spacing w:after="101" w:line="216" w:lineRule="exact"/>
      <w:ind w:firstLine="288"/>
      <w:jc w:val="both"/>
    </w:pPr>
    <w:rPr>
      <w:rFonts w:eastAsia="Times New Roman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66A86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F30F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6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coduvi.tlaxcala.gob.mx/images/evaext/pae_2017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ecoduvi.tlaxcala.gob.mx/images/evaext/Evaluacion%20Integral%20FAFEF%202016%25SECODUVI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FINANZAS</cp:lastModifiedBy>
  <cp:revision>14</cp:revision>
  <cp:lastPrinted>2018-04-11T23:05:00Z</cp:lastPrinted>
  <dcterms:created xsi:type="dcterms:W3CDTF">2018-04-05T18:55:00Z</dcterms:created>
  <dcterms:modified xsi:type="dcterms:W3CDTF">2018-04-12T14:38:00Z</dcterms:modified>
</cp:coreProperties>
</file>