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82F" w:rsidRPr="00063C54" w:rsidRDefault="00063C54" w:rsidP="0003382F">
      <w:pPr>
        <w:pStyle w:val="Texto"/>
        <w:spacing w:line="252" w:lineRule="exact"/>
        <w:ind w:firstLine="0"/>
        <w:jc w:val="center"/>
        <w:rPr>
          <w:b/>
          <w:color w:val="000000"/>
          <w:szCs w:val="18"/>
          <w:lang w:eastAsia="es-MX"/>
        </w:rPr>
      </w:pPr>
      <w:r>
        <w:rPr>
          <w:b/>
          <w:color w:val="000000"/>
          <w:szCs w:val="18"/>
          <w:lang w:eastAsia="es-MX"/>
        </w:rPr>
        <w:t>SEGUIMIENTO DE EVALUACIONES</w:t>
      </w:r>
    </w:p>
    <w:p w:rsidR="00A50C6E" w:rsidRPr="00063C54" w:rsidRDefault="0003382F" w:rsidP="00063C54">
      <w:pPr>
        <w:pStyle w:val="Texto"/>
        <w:spacing w:after="0" w:line="240" w:lineRule="auto"/>
        <w:ind w:firstLine="0"/>
        <w:jc w:val="center"/>
        <w:rPr>
          <w:b/>
          <w:color w:val="000000"/>
          <w:szCs w:val="18"/>
          <w:lang w:eastAsia="es-MX"/>
        </w:rPr>
      </w:pPr>
      <w:r w:rsidRPr="00063C54">
        <w:rPr>
          <w:b/>
          <w:color w:val="000000"/>
          <w:szCs w:val="18"/>
          <w:lang w:eastAsia="es-MX"/>
        </w:rPr>
        <w:t xml:space="preserve">Evaluación Integral del Desempeño del Fondo de Aportaciones para la </w:t>
      </w:r>
    </w:p>
    <w:p w:rsidR="0003382F" w:rsidRPr="00063C54" w:rsidRDefault="0003382F" w:rsidP="00063C54">
      <w:pPr>
        <w:pStyle w:val="Texto"/>
        <w:spacing w:after="0" w:line="240" w:lineRule="auto"/>
        <w:ind w:firstLine="0"/>
        <w:jc w:val="center"/>
        <w:rPr>
          <w:b/>
          <w:color w:val="000000"/>
          <w:szCs w:val="18"/>
          <w:lang w:eastAsia="es-MX"/>
        </w:rPr>
      </w:pPr>
      <w:r w:rsidRPr="00063C54">
        <w:rPr>
          <w:b/>
          <w:color w:val="000000"/>
          <w:szCs w:val="18"/>
          <w:lang w:eastAsia="es-MX"/>
        </w:rPr>
        <w:t xml:space="preserve">Nómina Educativa y Gasto Operativo </w:t>
      </w:r>
      <w:r w:rsidR="00A50C6E" w:rsidRPr="00063C54">
        <w:rPr>
          <w:b/>
          <w:color w:val="000000"/>
          <w:szCs w:val="18"/>
          <w:lang w:eastAsia="es-MX"/>
        </w:rPr>
        <w:t>(</w:t>
      </w:r>
      <w:r w:rsidRPr="00063C54">
        <w:rPr>
          <w:b/>
          <w:color w:val="000000"/>
          <w:szCs w:val="18"/>
          <w:lang w:eastAsia="es-MX"/>
        </w:rPr>
        <w:t>FONE</w:t>
      </w:r>
      <w:r w:rsidR="00A50C6E" w:rsidRPr="00063C54">
        <w:rPr>
          <w:b/>
          <w:color w:val="000000"/>
          <w:szCs w:val="18"/>
          <w:lang w:eastAsia="es-MX"/>
        </w:rPr>
        <w:t>)</w:t>
      </w:r>
      <w:r w:rsidRPr="00063C54">
        <w:rPr>
          <w:b/>
          <w:color w:val="000000"/>
          <w:szCs w:val="18"/>
          <w:lang w:eastAsia="es-MX"/>
        </w:rPr>
        <w:t xml:space="preserve"> 2016 </w:t>
      </w:r>
    </w:p>
    <w:p w:rsidR="008E19F3" w:rsidRPr="00D2727A" w:rsidRDefault="008E19F3" w:rsidP="008E19F3">
      <w:pPr>
        <w:pStyle w:val="Texto"/>
        <w:spacing w:line="14" w:lineRule="exact"/>
        <w:rPr>
          <w:szCs w:val="18"/>
        </w:rPr>
      </w:pPr>
    </w:p>
    <w:tbl>
      <w:tblPr>
        <w:tblW w:w="17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4"/>
        <w:gridCol w:w="1933"/>
        <w:gridCol w:w="2934"/>
        <w:gridCol w:w="4252"/>
        <w:gridCol w:w="2268"/>
        <w:gridCol w:w="2268"/>
        <w:gridCol w:w="2268"/>
      </w:tblGrid>
      <w:tr w:rsidR="0059330D" w:rsidRPr="00B24ABB" w:rsidTr="00663810">
        <w:trPr>
          <w:trHeight w:val="488"/>
          <w:tblHeader/>
          <w:jc w:val="center"/>
        </w:trPr>
        <w:tc>
          <w:tcPr>
            <w:tcW w:w="1304" w:type="dxa"/>
            <w:shd w:val="clear" w:color="000000" w:fill="1F4E78"/>
            <w:noWrap/>
            <w:vAlign w:val="center"/>
            <w:hideMark/>
          </w:tcPr>
          <w:p w:rsidR="0059330D" w:rsidRPr="00063C54" w:rsidRDefault="0059330D" w:rsidP="00775C67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</w:pPr>
            <w:r w:rsidRPr="00063C54"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  <w:t>PARÁMETRO</w:t>
            </w:r>
          </w:p>
        </w:tc>
        <w:tc>
          <w:tcPr>
            <w:tcW w:w="1933" w:type="dxa"/>
            <w:shd w:val="clear" w:color="000000" w:fill="1F4E78"/>
            <w:vAlign w:val="center"/>
            <w:hideMark/>
          </w:tcPr>
          <w:p w:rsidR="0059330D" w:rsidRPr="00063C54" w:rsidRDefault="0059330D" w:rsidP="00775C67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</w:pPr>
            <w:r w:rsidRPr="00063C54"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  <w:t>Áreas Susceptibles de Mejora (ASM)</w:t>
            </w:r>
          </w:p>
        </w:tc>
        <w:tc>
          <w:tcPr>
            <w:tcW w:w="2934" w:type="dxa"/>
            <w:shd w:val="clear" w:color="000000" w:fill="1F4E78"/>
            <w:vAlign w:val="center"/>
            <w:hideMark/>
          </w:tcPr>
          <w:p w:rsidR="0059330D" w:rsidRPr="00063C54" w:rsidRDefault="0059330D" w:rsidP="00775C67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</w:pPr>
            <w:r w:rsidRPr="00063C54"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  <w:t>RECOMENDACIONES</w:t>
            </w:r>
          </w:p>
        </w:tc>
        <w:tc>
          <w:tcPr>
            <w:tcW w:w="4252" w:type="dxa"/>
            <w:shd w:val="clear" w:color="000000" w:fill="1F4E78"/>
            <w:vAlign w:val="center"/>
          </w:tcPr>
          <w:p w:rsidR="00923E8B" w:rsidRDefault="00923E8B" w:rsidP="00063C54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</w:pPr>
          </w:p>
          <w:p w:rsidR="0059330D" w:rsidRDefault="0059330D" w:rsidP="00063C54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</w:pPr>
            <w:r w:rsidRPr="00063C54"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  <w:t>SEGUIMIENTO</w:t>
            </w:r>
            <w:r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  <w:t xml:space="preserve"> </w:t>
            </w:r>
          </w:p>
          <w:p w:rsidR="0059330D" w:rsidRPr="00063C54" w:rsidRDefault="0059330D" w:rsidP="00063C54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</w:pPr>
          </w:p>
        </w:tc>
        <w:tc>
          <w:tcPr>
            <w:tcW w:w="2268" w:type="dxa"/>
            <w:shd w:val="clear" w:color="000000" w:fill="1F4E78"/>
            <w:vAlign w:val="center"/>
          </w:tcPr>
          <w:p w:rsidR="0059330D" w:rsidRPr="00063C54" w:rsidRDefault="0059330D" w:rsidP="00390D5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  <w:t>OBSERVACIONES</w:t>
            </w:r>
          </w:p>
        </w:tc>
        <w:tc>
          <w:tcPr>
            <w:tcW w:w="2268" w:type="dxa"/>
            <w:shd w:val="clear" w:color="000000" w:fill="1F4E78"/>
          </w:tcPr>
          <w:p w:rsidR="0059330D" w:rsidRDefault="0059330D" w:rsidP="00390D5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</w:pPr>
          </w:p>
          <w:p w:rsidR="0059330D" w:rsidRDefault="0059330D" w:rsidP="0059330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  <w:t>MEJORA</w:t>
            </w:r>
          </w:p>
        </w:tc>
        <w:tc>
          <w:tcPr>
            <w:tcW w:w="2268" w:type="dxa"/>
            <w:shd w:val="clear" w:color="000000" w:fill="1F4E78"/>
          </w:tcPr>
          <w:p w:rsidR="0059330D" w:rsidRDefault="0059330D" w:rsidP="00390D5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</w:pPr>
          </w:p>
          <w:p w:rsidR="0059330D" w:rsidRDefault="0059330D" w:rsidP="00390D5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  <w:t xml:space="preserve">AVANCE </w:t>
            </w:r>
          </w:p>
        </w:tc>
      </w:tr>
      <w:tr w:rsidR="0059330D" w:rsidRPr="00B24ABB" w:rsidTr="00663810">
        <w:trPr>
          <w:trHeight w:val="471"/>
          <w:jc w:val="center"/>
        </w:trPr>
        <w:tc>
          <w:tcPr>
            <w:tcW w:w="1304" w:type="dxa"/>
            <w:shd w:val="clear" w:color="auto" w:fill="auto"/>
            <w:vAlign w:val="center"/>
            <w:hideMark/>
          </w:tcPr>
          <w:p w:rsidR="0059330D" w:rsidRPr="00063C54" w:rsidRDefault="0059330D" w:rsidP="00775C67">
            <w:pPr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063C54">
              <w:rPr>
                <w:rFonts w:ascii="Century Gothic" w:hAnsi="Century Gothic"/>
                <w:color w:val="000000"/>
                <w:sz w:val="16"/>
                <w:szCs w:val="14"/>
              </w:rPr>
              <w:t>Justificación de la creación / diseño del programa</w:t>
            </w:r>
          </w:p>
        </w:tc>
        <w:tc>
          <w:tcPr>
            <w:tcW w:w="1933" w:type="dxa"/>
            <w:shd w:val="clear" w:color="auto" w:fill="auto"/>
            <w:vAlign w:val="center"/>
            <w:hideMark/>
          </w:tcPr>
          <w:p w:rsidR="0059330D" w:rsidRPr="00063C54" w:rsidRDefault="0059330D" w:rsidP="00775C67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063C54">
              <w:rPr>
                <w:rFonts w:ascii="Century Gothic" w:hAnsi="Century Gothic"/>
                <w:color w:val="000000"/>
                <w:sz w:val="16"/>
                <w:szCs w:val="14"/>
              </w:rPr>
              <w:t>El fondo no cuenta con un diagnóstico propio para la entidad federativa  que determine  necesidades y consecuencias en la asignación de los recursos.</w:t>
            </w:r>
          </w:p>
        </w:tc>
        <w:tc>
          <w:tcPr>
            <w:tcW w:w="2934" w:type="dxa"/>
            <w:shd w:val="clear" w:color="auto" w:fill="auto"/>
            <w:vAlign w:val="center"/>
            <w:hideMark/>
          </w:tcPr>
          <w:p w:rsidR="0059330D" w:rsidRPr="00063C54" w:rsidRDefault="0059330D" w:rsidP="00775C67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063C54">
              <w:rPr>
                <w:rFonts w:ascii="Century Gothic" w:hAnsi="Century Gothic"/>
                <w:color w:val="000000"/>
                <w:sz w:val="16"/>
                <w:szCs w:val="14"/>
              </w:rPr>
              <w:t>Elaborar un estudio que defina y justifique los componentes, objetivos, acciones y estrategias específicos del fondo en la entidad, y qué problemática buscará atender.</w:t>
            </w:r>
          </w:p>
        </w:tc>
        <w:tc>
          <w:tcPr>
            <w:tcW w:w="4252" w:type="dxa"/>
          </w:tcPr>
          <w:p w:rsidR="0059330D" w:rsidRDefault="0059330D" w:rsidP="00775C67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59330D" w:rsidRPr="00BB2935" w:rsidRDefault="0059330D" w:rsidP="00775C67">
            <w:pPr>
              <w:jc w:val="both"/>
              <w:rPr>
                <w:rFonts w:ascii="Century Gothic" w:hAnsi="Century Gothic"/>
                <w:sz w:val="16"/>
                <w:szCs w:val="14"/>
              </w:rPr>
            </w:pPr>
            <w:r w:rsidRPr="00BB2935">
              <w:rPr>
                <w:rFonts w:ascii="Century Gothic" w:hAnsi="Century Gothic"/>
                <w:sz w:val="16"/>
                <w:szCs w:val="14"/>
              </w:rPr>
              <w:t>Mediante oficio no. DRL.00101132/2017, realizo un estudio para definir los objetivos, problemas, acciones y estrategias, tomando como base la MIR nacional del año 2015, publicada en la siguiente dirección electrónica:</w:t>
            </w:r>
          </w:p>
          <w:p w:rsidR="0059330D" w:rsidRPr="00BB2935" w:rsidRDefault="0059330D" w:rsidP="00775C67">
            <w:pPr>
              <w:jc w:val="both"/>
              <w:rPr>
                <w:rFonts w:ascii="Century Gothic" w:hAnsi="Century Gothic"/>
                <w:sz w:val="16"/>
                <w:szCs w:val="14"/>
              </w:rPr>
            </w:pPr>
          </w:p>
          <w:p w:rsidR="0059330D" w:rsidRPr="00BB2935" w:rsidRDefault="0056482B" w:rsidP="00775C67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hyperlink r:id="rId7" w:history="1">
              <w:r w:rsidR="0059330D" w:rsidRPr="00BB2935">
                <w:rPr>
                  <w:rStyle w:val="Hipervnculo"/>
                  <w:rFonts w:ascii="Century Gothic" w:hAnsi="Century Gothic"/>
                  <w:color w:val="auto"/>
                  <w:sz w:val="16"/>
                  <w:szCs w:val="16"/>
                  <w:u w:val="none"/>
                </w:rPr>
                <w:t>http://www.sep.gob.mx/es/sep1/Matriz_de_Indicadores_</w:t>
              </w:r>
            </w:hyperlink>
          </w:p>
          <w:p w:rsidR="0059330D" w:rsidRPr="00BB2935" w:rsidRDefault="0059330D" w:rsidP="00775C67">
            <w:pPr>
              <w:jc w:val="both"/>
              <w:rPr>
                <w:rStyle w:val="Hipervnculo"/>
                <w:rFonts w:ascii="Century Gothic" w:hAnsi="Century Gothic"/>
                <w:color w:val="auto"/>
                <w:sz w:val="16"/>
                <w:szCs w:val="16"/>
                <w:u w:val="none"/>
              </w:rPr>
            </w:pPr>
            <w:r w:rsidRPr="00BB2935">
              <w:rPr>
                <w:rStyle w:val="Hipervnculo"/>
                <w:rFonts w:ascii="Century Gothic" w:hAnsi="Century Gothic"/>
                <w:color w:val="auto"/>
                <w:sz w:val="16"/>
                <w:szCs w:val="16"/>
                <w:u w:val="none"/>
              </w:rPr>
              <w:t>para_Resultados_MIR_2015</w:t>
            </w:r>
          </w:p>
          <w:p w:rsidR="0059330D" w:rsidRPr="00063C54" w:rsidRDefault="0059330D" w:rsidP="00775C67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</w:tc>
        <w:tc>
          <w:tcPr>
            <w:tcW w:w="2268" w:type="dxa"/>
            <w:vAlign w:val="center"/>
          </w:tcPr>
          <w:p w:rsidR="0059330D" w:rsidRPr="0033293B" w:rsidRDefault="0059330D" w:rsidP="0033293B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33293B">
              <w:rPr>
                <w:rFonts w:ascii="Century Gothic" w:hAnsi="Century Gothic"/>
                <w:color w:val="000000"/>
                <w:sz w:val="16"/>
                <w:szCs w:val="14"/>
              </w:rPr>
              <w:t>Realizar MIR especifica del FONDO FONE</w:t>
            </w:r>
          </w:p>
        </w:tc>
        <w:tc>
          <w:tcPr>
            <w:tcW w:w="2268" w:type="dxa"/>
            <w:vAlign w:val="center"/>
          </w:tcPr>
          <w:p w:rsidR="0059330D" w:rsidRDefault="004D2461" w:rsidP="004D2461">
            <w:pPr>
              <w:pStyle w:val="Prrafodelista"/>
              <w:ind w:left="469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 xml:space="preserve">    </w:t>
            </w:r>
            <w:r w:rsidR="00F33E57">
              <w:rPr>
                <w:rFonts w:ascii="Century Gothic" w:hAnsi="Century Gothic"/>
                <w:color w:val="000000"/>
                <w:sz w:val="16"/>
                <w:szCs w:val="14"/>
              </w:rPr>
              <w:t>ATENDIDO</w:t>
            </w:r>
          </w:p>
          <w:p w:rsidR="0059330D" w:rsidRDefault="0059330D" w:rsidP="00F33E57">
            <w:pPr>
              <w:pStyle w:val="Prrafodelista"/>
              <w:ind w:left="469"/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</w:tc>
        <w:tc>
          <w:tcPr>
            <w:tcW w:w="2268" w:type="dxa"/>
            <w:vAlign w:val="center"/>
          </w:tcPr>
          <w:p w:rsidR="00F33E57" w:rsidRDefault="004D2461" w:rsidP="004D2461">
            <w:pPr>
              <w:pStyle w:val="Prrafodelista"/>
              <w:ind w:left="469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 xml:space="preserve">          </w:t>
            </w:r>
            <w:r w:rsidR="00F33E57">
              <w:rPr>
                <w:rFonts w:ascii="Century Gothic" w:hAnsi="Century Gothic"/>
                <w:color w:val="000000"/>
                <w:sz w:val="16"/>
                <w:szCs w:val="14"/>
              </w:rPr>
              <w:t>100</w:t>
            </w:r>
          </w:p>
        </w:tc>
      </w:tr>
      <w:tr w:rsidR="0059330D" w:rsidRPr="00B24ABB" w:rsidTr="00663810">
        <w:trPr>
          <w:trHeight w:val="598"/>
          <w:jc w:val="center"/>
        </w:trPr>
        <w:tc>
          <w:tcPr>
            <w:tcW w:w="1304" w:type="dxa"/>
            <w:shd w:val="clear" w:color="auto" w:fill="auto"/>
            <w:vAlign w:val="center"/>
            <w:hideMark/>
          </w:tcPr>
          <w:p w:rsidR="0059330D" w:rsidRPr="00063C54" w:rsidRDefault="0059330D" w:rsidP="00775C67">
            <w:pPr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063C54">
              <w:rPr>
                <w:rFonts w:ascii="Century Gothic" w:hAnsi="Century Gothic"/>
                <w:color w:val="000000"/>
                <w:sz w:val="16"/>
                <w:szCs w:val="14"/>
              </w:rPr>
              <w:t>Contribución a los objetivos y metas nacionales y sectoriales</w:t>
            </w:r>
          </w:p>
        </w:tc>
        <w:tc>
          <w:tcPr>
            <w:tcW w:w="1933" w:type="dxa"/>
            <w:shd w:val="clear" w:color="auto" w:fill="auto"/>
            <w:vAlign w:val="center"/>
            <w:hideMark/>
          </w:tcPr>
          <w:p w:rsidR="0059330D" w:rsidRPr="00063C54" w:rsidRDefault="0059330D" w:rsidP="00775C67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063C54">
              <w:rPr>
                <w:rFonts w:ascii="Century Gothic" w:hAnsi="Century Gothic"/>
                <w:color w:val="000000"/>
                <w:sz w:val="16"/>
                <w:szCs w:val="14"/>
              </w:rPr>
              <w:t>La dependencia ejecutora del fondo tiene como propósito ordenar y alinear las estructuras ocupacionales a los objetivos de la Reforma Educativa con el fin de elevar los servicios educativos.</w:t>
            </w:r>
          </w:p>
        </w:tc>
        <w:tc>
          <w:tcPr>
            <w:tcW w:w="2934" w:type="dxa"/>
            <w:shd w:val="clear" w:color="auto" w:fill="auto"/>
            <w:vAlign w:val="center"/>
            <w:hideMark/>
          </w:tcPr>
          <w:p w:rsidR="0059330D" w:rsidRPr="00063C54" w:rsidRDefault="0059330D" w:rsidP="00775C67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063C54">
              <w:rPr>
                <w:rFonts w:ascii="Century Gothic" w:hAnsi="Century Gothic"/>
                <w:color w:val="000000"/>
                <w:sz w:val="16"/>
                <w:szCs w:val="14"/>
              </w:rPr>
              <w:t>Determinar a qué estructura los recursos del fondo pueden asignarse, además del pago de servicios personales, para elevar la calidad de la educación.</w:t>
            </w:r>
          </w:p>
        </w:tc>
        <w:tc>
          <w:tcPr>
            <w:tcW w:w="4252" w:type="dxa"/>
            <w:vAlign w:val="center"/>
          </w:tcPr>
          <w:p w:rsidR="0059330D" w:rsidRDefault="0059330D" w:rsidP="00DE6E7C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59330D" w:rsidRDefault="0059330D" w:rsidP="00DE6E7C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>Adjuntan tabla del presupuesto de egresos para el ejercicio 2016 por fuente de financiamiento.</w:t>
            </w:r>
          </w:p>
          <w:p w:rsidR="0059330D" w:rsidRDefault="0059330D" w:rsidP="00DE6E7C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59330D" w:rsidRPr="00063C54" w:rsidRDefault="0059330D" w:rsidP="00DE6E7C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>Informan que con la creación del FONE, se establece la inclusión de recursos para gasto operativo.</w:t>
            </w:r>
          </w:p>
        </w:tc>
        <w:tc>
          <w:tcPr>
            <w:tcW w:w="2268" w:type="dxa"/>
            <w:vAlign w:val="center"/>
          </w:tcPr>
          <w:p w:rsidR="0059330D" w:rsidRDefault="0059330D" w:rsidP="000743AB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0743AB">
              <w:rPr>
                <w:rFonts w:ascii="Century Gothic" w:hAnsi="Century Gothic"/>
                <w:color w:val="000000"/>
                <w:sz w:val="16"/>
                <w:szCs w:val="14"/>
              </w:rPr>
              <w:t>Los recursos están etiquetados y normados Federalmente (Ramo 33)</w:t>
            </w:r>
          </w:p>
          <w:p w:rsidR="0059330D" w:rsidRDefault="0059330D" w:rsidP="000743AB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59330D" w:rsidRPr="000743AB" w:rsidRDefault="0059330D" w:rsidP="000743AB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</w:tc>
        <w:tc>
          <w:tcPr>
            <w:tcW w:w="2268" w:type="dxa"/>
            <w:vAlign w:val="center"/>
          </w:tcPr>
          <w:p w:rsidR="0059330D" w:rsidRDefault="00F754C8" w:rsidP="0033293B">
            <w:pPr>
              <w:pStyle w:val="Prrafodelista"/>
              <w:tabs>
                <w:tab w:val="left" w:pos="922"/>
                <w:tab w:val="left" w:pos="1363"/>
                <w:tab w:val="left" w:pos="1489"/>
              </w:tabs>
              <w:ind w:left="469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 xml:space="preserve">       </w:t>
            </w:r>
            <w:r w:rsidR="004D2461">
              <w:rPr>
                <w:rFonts w:ascii="Century Gothic" w:hAnsi="Century Gothic"/>
                <w:color w:val="000000"/>
                <w:sz w:val="16"/>
                <w:szCs w:val="14"/>
              </w:rPr>
              <w:t>ATENDIDO</w:t>
            </w:r>
            <w:r w:rsidR="0059330D">
              <w:rPr>
                <w:rFonts w:ascii="Century Gothic" w:hAnsi="Century Gothic"/>
                <w:color w:val="000000"/>
                <w:sz w:val="16"/>
                <w:szCs w:val="14"/>
              </w:rPr>
              <w:t xml:space="preserve">  </w:t>
            </w:r>
          </w:p>
        </w:tc>
        <w:tc>
          <w:tcPr>
            <w:tcW w:w="2268" w:type="dxa"/>
          </w:tcPr>
          <w:p w:rsidR="004D2461" w:rsidRDefault="004D2461" w:rsidP="00755797">
            <w:pPr>
              <w:pStyle w:val="Prrafodelista"/>
              <w:ind w:left="469"/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4D2461" w:rsidRDefault="004D2461" w:rsidP="00755797">
            <w:pPr>
              <w:pStyle w:val="Prrafodelista"/>
              <w:ind w:left="469"/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4D2461" w:rsidRDefault="004D2461" w:rsidP="00755797">
            <w:pPr>
              <w:pStyle w:val="Prrafodelista"/>
              <w:ind w:left="469"/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4D2461" w:rsidRDefault="004D2461" w:rsidP="00755797">
            <w:pPr>
              <w:pStyle w:val="Prrafodelista"/>
              <w:ind w:left="469"/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59330D" w:rsidRDefault="00E3502F" w:rsidP="00E3502F">
            <w:pPr>
              <w:pStyle w:val="Prrafodelista"/>
              <w:ind w:left="469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 xml:space="preserve">         </w:t>
            </w:r>
            <w:r w:rsidR="004D2461">
              <w:rPr>
                <w:rFonts w:ascii="Century Gothic" w:hAnsi="Century Gothic"/>
                <w:color w:val="000000"/>
                <w:sz w:val="16"/>
                <w:szCs w:val="14"/>
              </w:rPr>
              <w:t>100</w:t>
            </w:r>
          </w:p>
        </w:tc>
      </w:tr>
      <w:tr w:rsidR="0059330D" w:rsidRPr="00B24ABB" w:rsidTr="00663810">
        <w:trPr>
          <w:trHeight w:val="549"/>
          <w:jc w:val="center"/>
        </w:trPr>
        <w:tc>
          <w:tcPr>
            <w:tcW w:w="1304" w:type="dxa"/>
            <w:shd w:val="clear" w:color="auto" w:fill="auto"/>
            <w:vAlign w:val="center"/>
            <w:hideMark/>
          </w:tcPr>
          <w:p w:rsidR="0059330D" w:rsidRPr="00063C54" w:rsidRDefault="0059330D" w:rsidP="00775C67">
            <w:pPr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063C54">
              <w:rPr>
                <w:rFonts w:ascii="Century Gothic" w:hAnsi="Century Gothic"/>
                <w:color w:val="000000"/>
                <w:sz w:val="16"/>
                <w:szCs w:val="14"/>
              </w:rPr>
              <w:t>Criterios de asignación de recursos</w:t>
            </w:r>
          </w:p>
        </w:tc>
        <w:tc>
          <w:tcPr>
            <w:tcW w:w="1933" w:type="dxa"/>
            <w:shd w:val="clear" w:color="auto" w:fill="auto"/>
            <w:vAlign w:val="center"/>
            <w:hideMark/>
          </w:tcPr>
          <w:p w:rsidR="0059330D" w:rsidRPr="00063C54" w:rsidRDefault="0059330D" w:rsidP="00775C67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063C54">
              <w:rPr>
                <w:rFonts w:ascii="Century Gothic" w:hAnsi="Century Gothic"/>
                <w:color w:val="000000"/>
                <w:sz w:val="16"/>
                <w:szCs w:val="14"/>
              </w:rPr>
              <w:t>El fondo tiene definido los rubros en los cuales se deben asignar los recursos, existe una normatividad para su aplicación; sin embargo no fija montos por rubro, ni objetivos.</w:t>
            </w:r>
          </w:p>
        </w:tc>
        <w:tc>
          <w:tcPr>
            <w:tcW w:w="2934" w:type="dxa"/>
            <w:shd w:val="clear" w:color="auto" w:fill="auto"/>
            <w:vAlign w:val="center"/>
            <w:hideMark/>
          </w:tcPr>
          <w:p w:rsidR="0059330D" w:rsidRPr="00063C54" w:rsidRDefault="0059330D" w:rsidP="00775C67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063C54">
              <w:rPr>
                <w:rFonts w:ascii="Century Gothic" w:hAnsi="Century Gothic"/>
                <w:color w:val="000000"/>
                <w:sz w:val="16"/>
                <w:szCs w:val="14"/>
              </w:rPr>
              <w:t xml:space="preserve">Elaborar un estudio que determine y justifique en qué medida, los recursos del fondo, aplicados por rubro contribuyen a calidad de la educación.  </w:t>
            </w:r>
          </w:p>
        </w:tc>
        <w:tc>
          <w:tcPr>
            <w:tcW w:w="4252" w:type="dxa"/>
          </w:tcPr>
          <w:p w:rsidR="0059330D" w:rsidRDefault="0059330D" w:rsidP="00775C67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59330D" w:rsidRDefault="0059330D" w:rsidP="00775C67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>Los recursos están etiquetados en el Ramo 33, de acuerdo al decreto de creación del FONE, los cuales son transferidos por la SEP Federal y fueron conciliadas las plazas durante el proceso de transición del FAEB.</w:t>
            </w:r>
          </w:p>
          <w:p w:rsidR="0059330D" w:rsidRDefault="0059330D" w:rsidP="00775C67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59330D" w:rsidRPr="00063C54" w:rsidRDefault="0059330D" w:rsidP="00775C67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>Anexan tabla de distribución del fondo.</w:t>
            </w:r>
          </w:p>
        </w:tc>
        <w:tc>
          <w:tcPr>
            <w:tcW w:w="2268" w:type="dxa"/>
            <w:vAlign w:val="center"/>
          </w:tcPr>
          <w:p w:rsidR="0059330D" w:rsidRPr="000743AB" w:rsidRDefault="0059330D" w:rsidP="000743AB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0743AB">
              <w:rPr>
                <w:rFonts w:ascii="Century Gothic" w:hAnsi="Century Gothic"/>
                <w:color w:val="000000"/>
                <w:sz w:val="16"/>
                <w:szCs w:val="14"/>
              </w:rPr>
              <w:t>Los recursos están etiquetados y normados Federalmente (Ramo 33)</w:t>
            </w:r>
          </w:p>
        </w:tc>
        <w:tc>
          <w:tcPr>
            <w:tcW w:w="2268" w:type="dxa"/>
            <w:vAlign w:val="center"/>
          </w:tcPr>
          <w:p w:rsidR="0059330D" w:rsidRDefault="0059330D" w:rsidP="0033293B">
            <w:pPr>
              <w:pStyle w:val="Prrafodelista"/>
              <w:tabs>
                <w:tab w:val="left" w:pos="922"/>
                <w:tab w:val="left" w:pos="1363"/>
                <w:tab w:val="left" w:pos="1489"/>
              </w:tabs>
              <w:ind w:left="469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 xml:space="preserve">          </w:t>
            </w:r>
            <w:r w:rsidR="00F754C8">
              <w:rPr>
                <w:rFonts w:ascii="Century Gothic" w:hAnsi="Century Gothic"/>
                <w:color w:val="000000"/>
                <w:sz w:val="16"/>
                <w:szCs w:val="14"/>
              </w:rPr>
              <w:t>ATENDIDO</w:t>
            </w:r>
          </w:p>
        </w:tc>
        <w:tc>
          <w:tcPr>
            <w:tcW w:w="2268" w:type="dxa"/>
          </w:tcPr>
          <w:p w:rsidR="0059330D" w:rsidRDefault="0059330D" w:rsidP="0033293B">
            <w:pPr>
              <w:pStyle w:val="Prrafodelista"/>
              <w:tabs>
                <w:tab w:val="left" w:pos="922"/>
                <w:tab w:val="left" w:pos="1363"/>
                <w:tab w:val="left" w:pos="1489"/>
              </w:tabs>
              <w:ind w:left="469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F754C8" w:rsidRDefault="00F754C8" w:rsidP="0033293B">
            <w:pPr>
              <w:pStyle w:val="Prrafodelista"/>
              <w:tabs>
                <w:tab w:val="left" w:pos="922"/>
                <w:tab w:val="left" w:pos="1363"/>
                <w:tab w:val="left" w:pos="1489"/>
              </w:tabs>
              <w:ind w:left="469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F754C8" w:rsidRDefault="00F754C8" w:rsidP="0033293B">
            <w:pPr>
              <w:pStyle w:val="Prrafodelista"/>
              <w:tabs>
                <w:tab w:val="left" w:pos="922"/>
                <w:tab w:val="left" w:pos="1363"/>
                <w:tab w:val="left" w:pos="1489"/>
              </w:tabs>
              <w:ind w:left="469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F754C8" w:rsidRDefault="00F754C8" w:rsidP="0033293B">
            <w:pPr>
              <w:pStyle w:val="Prrafodelista"/>
              <w:tabs>
                <w:tab w:val="left" w:pos="922"/>
                <w:tab w:val="left" w:pos="1363"/>
                <w:tab w:val="left" w:pos="1489"/>
              </w:tabs>
              <w:ind w:left="469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F754C8" w:rsidRDefault="00F754C8" w:rsidP="00F754C8">
            <w:pPr>
              <w:pStyle w:val="Prrafodelista"/>
              <w:tabs>
                <w:tab w:val="left" w:pos="922"/>
                <w:tab w:val="left" w:pos="1363"/>
                <w:tab w:val="left" w:pos="1489"/>
              </w:tabs>
              <w:ind w:left="469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 xml:space="preserve">         100</w:t>
            </w:r>
          </w:p>
        </w:tc>
      </w:tr>
      <w:tr w:rsidR="0059330D" w:rsidRPr="00B24ABB" w:rsidTr="00663810">
        <w:trPr>
          <w:trHeight w:val="539"/>
          <w:jc w:val="center"/>
        </w:trPr>
        <w:tc>
          <w:tcPr>
            <w:tcW w:w="1304" w:type="dxa"/>
            <w:shd w:val="clear" w:color="auto" w:fill="auto"/>
            <w:vAlign w:val="center"/>
            <w:hideMark/>
          </w:tcPr>
          <w:p w:rsidR="0059330D" w:rsidRPr="00063C54" w:rsidRDefault="0059330D" w:rsidP="00775C67">
            <w:pPr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063C54">
              <w:rPr>
                <w:rFonts w:ascii="Century Gothic" w:hAnsi="Century Gothic"/>
                <w:color w:val="000000"/>
                <w:sz w:val="16"/>
                <w:szCs w:val="14"/>
              </w:rPr>
              <w:t>Población potencial, objetivo y mecanismos de elección</w:t>
            </w:r>
          </w:p>
        </w:tc>
        <w:tc>
          <w:tcPr>
            <w:tcW w:w="1933" w:type="dxa"/>
            <w:shd w:val="clear" w:color="auto" w:fill="auto"/>
            <w:vAlign w:val="center"/>
            <w:hideMark/>
          </w:tcPr>
          <w:p w:rsidR="0059330D" w:rsidRPr="00063C54" w:rsidRDefault="0059330D" w:rsidP="00775C67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063C54">
              <w:rPr>
                <w:rFonts w:ascii="Century Gothic" w:hAnsi="Century Gothic"/>
                <w:color w:val="000000"/>
                <w:sz w:val="16"/>
                <w:szCs w:val="14"/>
              </w:rPr>
              <w:t xml:space="preserve">El fondo tiene definida de manera general la población potencial, pero no la población objetivo por subsistema educativo. </w:t>
            </w:r>
          </w:p>
        </w:tc>
        <w:tc>
          <w:tcPr>
            <w:tcW w:w="2934" w:type="dxa"/>
            <w:shd w:val="clear" w:color="auto" w:fill="auto"/>
            <w:vAlign w:val="center"/>
            <w:hideMark/>
          </w:tcPr>
          <w:p w:rsidR="0059330D" w:rsidRPr="00063C54" w:rsidRDefault="0059330D" w:rsidP="00775C67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063C54">
              <w:rPr>
                <w:rFonts w:ascii="Century Gothic" w:hAnsi="Century Gothic"/>
                <w:color w:val="000000"/>
                <w:sz w:val="16"/>
                <w:szCs w:val="14"/>
              </w:rPr>
              <w:t xml:space="preserve">Elaborar un diagnóstico por nivel educativo (subsistema) considerando también las características (necesidades) regionales que se traduzcan en una mejor selección de recursos humanos y materiales. </w:t>
            </w:r>
          </w:p>
        </w:tc>
        <w:tc>
          <w:tcPr>
            <w:tcW w:w="4252" w:type="dxa"/>
          </w:tcPr>
          <w:p w:rsidR="0059330D" w:rsidRDefault="0059330D" w:rsidP="00775C67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59330D" w:rsidRDefault="0059330D" w:rsidP="00C862F0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>En el año 2015 la SEP Federal, solicito se realizará el diagnostico por centro de trabajo por cada nivel, para estar en posibilidades de solicitar personal docente y  administrativo de cada escuela.</w:t>
            </w:r>
          </w:p>
          <w:p w:rsidR="0059330D" w:rsidRDefault="0059330D" w:rsidP="00C862F0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 xml:space="preserve">En el año 2016, se implementó el diagnóstico completo, este no solo fue un análisis en cada nivel educativo, sino </w:t>
            </w:r>
            <w:r>
              <w:rPr>
                <w:rFonts w:ascii="Century Gothic" w:hAnsi="Century Gothic"/>
                <w:color w:val="000000"/>
                <w:sz w:val="16"/>
                <w:szCs w:val="14"/>
              </w:rPr>
              <w:lastRenderedPageBreak/>
              <w:t>determinar el déficit y superávit  en cada centro.</w:t>
            </w:r>
          </w:p>
          <w:p w:rsidR="0059330D" w:rsidRDefault="0059330D" w:rsidP="00C862F0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 xml:space="preserve">Arrojó que existe déficit de Plazas administrativas, así como Docentes. </w:t>
            </w:r>
          </w:p>
          <w:p w:rsidR="0059330D" w:rsidRDefault="0059330D" w:rsidP="00C862F0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>Se solicitó una propuesta de prioridades a la DGPEE, sin embargo la respuesta fue hasta diciembre enviando el dictamen de plazas autorizadas.</w:t>
            </w:r>
          </w:p>
          <w:p w:rsidR="0059330D" w:rsidRDefault="0059330D" w:rsidP="00C862F0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 xml:space="preserve">Anexan oficios dirigidos a la SHCP </w:t>
            </w:r>
          </w:p>
          <w:p w:rsidR="0059330D" w:rsidRDefault="0059330D" w:rsidP="00C862F0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>Anexan minuta, en la cual acuerdan la capacidad de atención por Nivel y Modalidad y será conforme a parámetros establecidos.</w:t>
            </w:r>
          </w:p>
          <w:p w:rsidR="0059330D" w:rsidRPr="00C862F0" w:rsidRDefault="0059330D" w:rsidP="00C862F0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>Las conclusiones a dicho análisis fueron proponer la optimización de recursos a los niveles educativos, y que para llevar a cabo un incremento de grupo se debe autorizar fusión, ya que la creación de plazas nuevas no está autorizada.</w:t>
            </w:r>
          </w:p>
          <w:p w:rsidR="0059330D" w:rsidRPr="00063C54" w:rsidRDefault="0059330D" w:rsidP="00775C67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</w:tc>
        <w:tc>
          <w:tcPr>
            <w:tcW w:w="2268" w:type="dxa"/>
          </w:tcPr>
          <w:p w:rsidR="0059330D" w:rsidRDefault="0059330D" w:rsidP="000743AB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59330D" w:rsidRPr="000743AB" w:rsidRDefault="0059330D" w:rsidP="000743AB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0743AB">
              <w:rPr>
                <w:rFonts w:ascii="Century Gothic" w:hAnsi="Century Gothic"/>
                <w:color w:val="000000"/>
                <w:sz w:val="16"/>
                <w:szCs w:val="14"/>
              </w:rPr>
              <w:t>La Población Objetivo, que presenta el  programa</w:t>
            </w:r>
            <w:bookmarkStart w:id="0" w:name="_GoBack"/>
            <w:bookmarkEnd w:id="0"/>
            <w:r w:rsidRPr="000743AB">
              <w:rPr>
                <w:rFonts w:ascii="Century Gothic" w:hAnsi="Century Gothic"/>
                <w:color w:val="000000"/>
                <w:sz w:val="16"/>
                <w:szCs w:val="14"/>
              </w:rPr>
              <w:t xml:space="preserve"> FONE tiene la planeación y programación para atender y cubrir la población potencial y cumple con los criterios de elegibilidad establecidos en su normatividad, la cual </w:t>
            </w:r>
            <w:r w:rsidRPr="000743AB">
              <w:rPr>
                <w:rFonts w:ascii="Century Gothic" w:hAnsi="Century Gothic"/>
                <w:color w:val="000000"/>
                <w:sz w:val="16"/>
                <w:szCs w:val="14"/>
              </w:rPr>
              <w:lastRenderedPageBreak/>
              <w:t>está bien definida Federalmente, tanto presupuestalmente como a nivel planeación educativa.</w:t>
            </w:r>
          </w:p>
        </w:tc>
        <w:tc>
          <w:tcPr>
            <w:tcW w:w="2268" w:type="dxa"/>
            <w:vAlign w:val="center"/>
          </w:tcPr>
          <w:p w:rsidR="0059330D" w:rsidRDefault="0059330D" w:rsidP="00A76C7F">
            <w:pPr>
              <w:pStyle w:val="Prrafodelista"/>
              <w:ind w:left="469"/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F754C8" w:rsidRDefault="00F754C8" w:rsidP="00A76C7F">
            <w:pPr>
              <w:pStyle w:val="Prrafodelista"/>
              <w:ind w:left="469"/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59330D" w:rsidRDefault="00F754C8" w:rsidP="00A76C7F">
            <w:pPr>
              <w:pStyle w:val="Prrafodelista"/>
              <w:ind w:left="469"/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>ATENDIDO</w:t>
            </w:r>
          </w:p>
          <w:p w:rsidR="0059330D" w:rsidRDefault="0059330D" w:rsidP="00A76C7F">
            <w:pPr>
              <w:pStyle w:val="Prrafodelista"/>
              <w:ind w:left="469"/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59330D" w:rsidRDefault="0059330D" w:rsidP="00A76C7F">
            <w:pPr>
              <w:pStyle w:val="Prrafodelista"/>
              <w:ind w:left="469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</w:tc>
        <w:tc>
          <w:tcPr>
            <w:tcW w:w="2268" w:type="dxa"/>
          </w:tcPr>
          <w:p w:rsidR="0059330D" w:rsidRDefault="0059330D" w:rsidP="00A76C7F">
            <w:pPr>
              <w:pStyle w:val="Prrafodelista"/>
              <w:ind w:left="469"/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F754C8" w:rsidRDefault="00F754C8" w:rsidP="00A76C7F">
            <w:pPr>
              <w:pStyle w:val="Prrafodelista"/>
              <w:ind w:left="469"/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F754C8" w:rsidRDefault="00F754C8" w:rsidP="00A76C7F">
            <w:pPr>
              <w:pStyle w:val="Prrafodelista"/>
              <w:ind w:left="469"/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F754C8" w:rsidRDefault="00F754C8" w:rsidP="00A76C7F">
            <w:pPr>
              <w:pStyle w:val="Prrafodelista"/>
              <w:ind w:left="469"/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F754C8" w:rsidRDefault="00F754C8" w:rsidP="00F754C8">
            <w:pPr>
              <w:pStyle w:val="Prrafodelista"/>
              <w:ind w:left="469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 xml:space="preserve">         100</w:t>
            </w:r>
          </w:p>
        </w:tc>
      </w:tr>
      <w:tr w:rsidR="0059330D" w:rsidRPr="00B24ABB" w:rsidTr="00663810">
        <w:trPr>
          <w:trHeight w:val="775"/>
          <w:jc w:val="center"/>
        </w:trPr>
        <w:tc>
          <w:tcPr>
            <w:tcW w:w="1304" w:type="dxa"/>
            <w:shd w:val="clear" w:color="auto" w:fill="auto"/>
            <w:vAlign w:val="center"/>
            <w:hideMark/>
          </w:tcPr>
          <w:p w:rsidR="0059330D" w:rsidRPr="00063C54" w:rsidRDefault="0059330D" w:rsidP="00775C67">
            <w:pPr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063C54">
              <w:rPr>
                <w:rFonts w:ascii="Century Gothic" w:hAnsi="Century Gothic"/>
                <w:color w:val="000000"/>
                <w:sz w:val="16"/>
                <w:szCs w:val="14"/>
              </w:rPr>
              <w:lastRenderedPageBreak/>
              <w:t>MIR</w:t>
            </w:r>
          </w:p>
        </w:tc>
        <w:tc>
          <w:tcPr>
            <w:tcW w:w="1933" w:type="dxa"/>
            <w:shd w:val="clear" w:color="auto" w:fill="auto"/>
            <w:vAlign w:val="center"/>
            <w:hideMark/>
          </w:tcPr>
          <w:p w:rsidR="0059330D" w:rsidRPr="00063C54" w:rsidRDefault="0059330D" w:rsidP="00775C67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063C54">
              <w:rPr>
                <w:rFonts w:ascii="Century Gothic" w:hAnsi="Century Gothic"/>
                <w:color w:val="000000"/>
                <w:sz w:val="16"/>
                <w:szCs w:val="14"/>
              </w:rPr>
              <w:t>La dependencia encargada de la impartición de la educación cuenta con una MIR construida (enfocada) a que sus acciones contribuyan a elevar la calidad de los servicios educativos, pero no determina en qué medida los recursos del fondo suman.</w:t>
            </w:r>
          </w:p>
        </w:tc>
        <w:tc>
          <w:tcPr>
            <w:tcW w:w="2934" w:type="dxa"/>
            <w:shd w:val="clear" w:color="auto" w:fill="auto"/>
            <w:vAlign w:val="center"/>
            <w:hideMark/>
          </w:tcPr>
          <w:p w:rsidR="0059330D" w:rsidRPr="00063C54" w:rsidRDefault="0059330D" w:rsidP="00775C67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063C54">
              <w:rPr>
                <w:rFonts w:ascii="Century Gothic" w:hAnsi="Century Gothic"/>
                <w:color w:val="000000"/>
                <w:sz w:val="16"/>
                <w:szCs w:val="14"/>
              </w:rPr>
              <w:t>Elaborar una MIR que considere al FONE como uno de los componentes que atienden una necesidad (problemática) en educación, no como una solución en si  misma; con indicadores claros que midan el impacto de los recursos del fondo.</w:t>
            </w:r>
          </w:p>
        </w:tc>
        <w:tc>
          <w:tcPr>
            <w:tcW w:w="4252" w:type="dxa"/>
            <w:vAlign w:val="center"/>
          </w:tcPr>
          <w:p w:rsidR="0059330D" w:rsidRPr="00BB2935" w:rsidRDefault="0059330D" w:rsidP="00DE6E7C">
            <w:pPr>
              <w:rPr>
                <w:rFonts w:ascii="Century Gothic" w:hAnsi="Century Gothic"/>
                <w:sz w:val="16"/>
                <w:szCs w:val="14"/>
              </w:rPr>
            </w:pPr>
            <w:r w:rsidRPr="00BB2935">
              <w:rPr>
                <w:rFonts w:ascii="Century Gothic" w:hAnsi="Century Gothic"/>
                <w:sz w:val="16"/>
                <w:szCs w:val="14"/>
              </w:rPr>
              <w:t>Mediante oficio no. DRL.00101132/2017, realizo un estudio para definir los objetivos, problemas, acciones y estrategias, tomando como base la MIR nacional del año 2015, publicada en la siguiente dirección electrónica:</w:t>
            </w:r>
          </w:p>
          <w:p w:rsidR="0059330D" w:rsidRPr="00BB2935" w:rsidRDefault="0059330D" w:rsidP="00DE6E7C">
            <w:pPr>
              <w:rPr>
                <w:rFonts w:ascii="Century Gothic" w:hAnsi="Century Gothic"/>
                <w:sz w:val="16"/>
                <w:szCs w:val="14"/>
              </w:rPr>
            </w:pPr>
          </w:p>
          <w:p w:rsidR="0059330D" w:rsidRPr="00BB2935" w:rsidRDefault="0056482B" w:rsidP="00DE6E7C">
            <w:pPr>
              <w:rPr>
                <w:rFonts w:ascii="Century Gothic" w:hAnsi="Century Gothic"/>
                <w:sz w:val="16"/>
                <w:szCs w:val="16"/>
              </w:rPr>
            </w:pPr>
            <w:hyperlink r:id="rId8" w:history="1">
              <w:r w:rsidR="0059330D" w:rsidRPr="00BB2935">
                <w:rPr>
                  <w:rStyle w:val="Hipervnculo"/>
                  <w:rFonts w:ascii="Century Gothic" w:hAnsi="Century Gothic"/>
                  <w:color w:val="auto"/>
                  <w:sz w:val="16"/>
                  <w:szCs w:val="16"/>
                  <w:u w:val="none"/>
                </w:rPr>
                <w:t>http://www.sep.gob.mx/es/sep1/Matriz_de_Indicadores_</w:t>
              </w:r>
            </w:hyperlink>
          </w:p>
          <w:p w:rsidR="0059330D" w:rsidRPr="00BB2935" w:rsidRDefault="0059330D" w:rsidP="00DE6E7C">
            <w:pPr>
              <w:rPr>
                <w:rStyle w:val="Hipervnculo"/>
                <w:rFonts w:ascii="Century Gothic" w:hAnsi="Century Gothic"/>
                <w:color w:val="auto"/>
                <w:sz w:val="16"/>
                <w:szCs w:val="16"/>
                <w:u w:val="none"/>
              </w:rPr>
            </w:pPr>
            <w:r w:rsidRPr="00BB2935">
              <w:rPr>
                <w:rStyle w:val="Hipervnculo"/>
                <w:rFonts w:ascii="Century Gothic" w:hAnsi="Century Gothic"/>
                <w:color w:val="auto"/>
                <w:sz w:val="16"/>
                <w:szCs w:val="16"/>
                <w:u w:val="none"/>
              </w:rPr>
              <w:t>para_Resultados_MIR_2015</w:t>
            </w:r>
          </w:p>
          <w:p w:rsidR="0059330D" w:rsidRPr="00BB2935" w:rsidRDefault="0059330D" w:rsidP="00DE6E7C">
            <w:pPr>
              <w:rPr>
                <w:rFonts w:ascii="Century Gothic" w:hAnsi="Century Gothic"/>
                <w:sz w:val="16"/>
                <w:szCs w:val="14"/>
              </w:rPr>
            </w:pPr>
          </w:p>
          <w:p w:rsidR="0059330D" w:rsidRPr="00BB2935" w:rsidRDefault="0059330D" w:rsidP="00DE6E7C">
            <w:pPr>
              <w:rPr>
                <w:rFonts w:ascii="Century Gothic" w:hAnsi="Century Gothic"/>
                <w:sz w:val="16"/>
                <w:szCs w:val="14"/>
              </w:rPr>
            </w:pPr>
          </w:p>
        </w:tc>
        <w:tc>
          <w:tcPr>
            <w:tcW w:w="2268" w:type="dxa"/>
            <w:vAlign w:val="center"/>
          </w:tcPr>
          <w:p w:rsidR="0059330D" w:rsidRDefault="0059330D" w:rsidP="000743AB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33293B">
              <w:rPr>
                <w:rFonts w:ascii="Century Gothic" w:hAnsi="Century Gothic"/>
                <w:color w:val="000000"/>
                <w:sz w:val="16"/>
                <w:szCs w:val="14"/>
              </w:rPr>
              <w:t>Realizar MIR especifica del FONDO FONE</w:t>
            </w:r>
          </w:p>
          <w:p w:rsidR="0059330D" w:rsidRDefault="0059330D" w:rsidP="000743AB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59330D" w:rsidRPr="000743AB" w:rsidRDefault="0059330D" w:rsidP="000743AB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</w:tc>
        <w:tc>
          <w:tcPr>
            <w:tcW w:w="2268" w:type="dxa"/>
            <w:vAlign w:val="center"/>
          </w:tcPr>
          <w:p w:rsidR="0059330D" w:rsidRDefault="00F10351" w:rsidP="00A61076">
            <w:pPr>
              <w:pStyle w:val="Prrafodelista"/>
              <w:ind w:left="469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>ATENDIDO</w:t>
            </w:r>
            <w:r w:rsidR="004011E9">
              <w:rPr>
                <w:rFonts w:ascii="Century Gothic" w:hAnsi="Century Gothic"/>
                <w:color w:val="000000"/>
                <w:sz w:val="16"/>
                <w:szCs w:val="14"/>
              </w:rPr>
              <w:t xml:space="preserve"> </w:t>
            </w:r>
          </w:p>
        </w:tc>
        <w:tc>
          <w:tcPr>
            <w:tcW w:w="2268" w:type="dxa"/>
          </w:tcPr>
          <w:p w:rsidR="0059330D" w:rsidRDefault="0059330D" w:rsidP="00A61076">
            <w:pPr>
              <w:pStyle w:val="Prrafodelista"/>
              <w:ind w:left="469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4011E9" w:rsidRDefault="004011E9" w:rsidP="00A61076">
            <w:pPr>
              <w:pStyle w:val="Prrafodelista"/>
              <w:ind w:left="469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4011E9" w:rsidRDefault="004011E9" w:rsidP="00A61076">
            <w:pPr>
              <w:pStyle w:val="Prrafodelista"/>
              <w:ind w:left="469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4011E9" w:rsidRDefault="004011E9" w:rsidP="00A61076">
            <w:pPr>
              <w:pStyle w:val="Prrafodelista"/>
              <w:ind w:left="469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4011E9" w:rsidRDefault="004011E9" w:rsidP="00A61076">
            <w:pPr>
              <w:pStyle w:val="Prrafodelista"/>
              <w:ind w:left="469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4011E9" w:rsidRDefault="004011E9" w:rsidP="00A61076">
            <w:pPr>
              <w:pStyle w:val="Prrafodelista"/>
              <w:ind w:left="469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F10351" w:rsidRDefault="00F10351" w:rsidP="00F10351">
            <w:pPr>
              <w:pStyle w:val="Prrafodelista"/>
              <w:ind w:left="469"/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>100</w:t>
            </w:r>
          </w:p>
          <w:p w:rsidR="004011E9" w:rsidRPr="00F10351" w:rsidRDefault="004011E9" w:rsidP="00F10351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</w:tc>
      </w:tr>
      <w:tr w:rsidR="0059330D" w:rsidRPr="00B24ABB" w:rsidTr="00663810">
        <w:trPr>
          <w:trHeight w:val="291"/>
          <w:jc w:val="center"/>
        </w:trPr>
        <w:tc>
          <w:tcPr>
            <w:tcW w:w="1304" w:type="dxa"/>
            <w:shd w:val="clear" w:color="auto" w:fill="auto"/>
            <w:vAlign w:val="center"/>
            <w:hideMark/>
          </w:tcPr>
          <w:p w:rsidR="0059330D" w:rsidRPr="00063C54" w:rsidRDefault="0059330D" w:rsidP="00775C67">
            <w:pPr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063C54">
              <w:rPr>
                <w:rFonts w:ascii="Century Gothic" w:hAnsi="Century Gothic"/>
                <w:color w:val="000000"/>
                <w:sz w:val="16"/>
                <w:szCs w:val="14"/>
              </w:rPr>
              <w:t>ASM</w:t>
            </w:r>
          </w:p>
        </w:tc>
        <w:tc>
          <w:tcPr>
            <w:tcW w:w="1933" w:type="dxa"/>
            <w:shd w:val="clear" w:color="auto" w:fill="auto"/>
            <w:vAlign w:val="center"/>
            <w:hideMark/>
          </w:tcPr>
          <w:p w:rsidR="0059330D" w:rsidRPr="00063C54" w:rsidRDefault="0059330D" w:rsidP="00775C67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063C54">
              <w:rPr>
                <w:rFonts w:ascii="Century Gothic" w:hAnsi="Century Gothic"/>
                <w:color w:val="000000"/>
                <w:sz w:val="16"/>
                <w:szCs w:val="14"/>
              </w:rPr>
              <w:t>Faltan una MIR específica adecuada para el FONE y estrategias de focalización.</w:t>
            </w:r>
          </w:p>
        </w:tc>
        <w:tc>
          <w:tcPr>
            <w:tcW w:w="2934" w:type="dxa"/>
            <w:shd w:val="clear" w:color="auto" w:fill="auto"/>
            <w:noWrap/>
            <w:vAlign w:val="center"/>
            <w:hideMark/>
          </w:tcPr>
          <w:p w:rsidR="0059330D" w:rsidRPr="00063C54" w:rsidRDefault="0059330D" w:rsidP="00775C67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063C54">
              <w:rPr>
                <w:rFonts w:ascii="Century Gothic" w:hAnsi="Century Gothic"/>
                <w:color w:val="000000"/>
                <w:sz w:val="16"/>
                <w:szCs w:val="14"/>
              </w:rPr>
              <w:t>Elaborar una MIR específica.</w:t>
            </w:r>
          </w:p>
        </w:tc>
        <w:tc>
          <w:tcPr>
            <w:tcW w:w="4252" w:type="dxa"/>
          </w:tcPr>
          <w:p w:rsidR="0059330D" w:rsidRPr="00BB2935" w:rsidRDefault="0059330D" w:rsidP="00C8577D">
            <w:pPr>
              <w:jc w:val="both"/>
              <w:rPr>
                <w:rFonts w:ascii="Century Gothic" w:hAnsi="Century Gothic"/>
                <w:sz w:val="16"/>
                <w:szCs w:val="14"/>
              </w:rPr>
            </w:pPr>
            <w:r w:rsidRPr="00BB2935">
              <w:rPr>
                <w:rFonts w:ascii="Century Gothic" w:hAnsi="Century Gothic"/>
                <w:sz w:val="16"/>
                <w:szCs w:val="14"/>
              </w:rPr>
              <w:t>Mediante oficio no. DRL.00101132/2017, realizo un estudio para definir los objetivos, problemas, acciones y estrategias, tomando como base la MIR nacional del año 2015, publicada en la siguiente dirección electrónica:</w:t>
            </w:r>
          </w:p>
          <w:p w:rsidR="0059330D" w:rsidRPr="00BB2935" w:rsidRDefault="0059330D" w:rsidP="00C8577D">
            <w:pPr>
              <w:jc w:val="both"/>
              <w:rPr>
                <w:rFonts w:ascii="Century Gothic" w:hAnsi="Century Gothic"/>
                <w:sz w:val="16"/>
                <w:szCs w:val="14"/>
              </w:rPr>
            </w:pPr>
          </w:p>
          <w:p w:rsidR="0059330D" w:rsidRPr="00BB2935" w:rsidRDefault="0056482B" w:rsidP="00C8577D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hyperlink r:id="rId9" w:history="1">
              <w:r w:rsidR="0059330D" w:rsidRPr="00BB2935">
                <w:rPr>
                  <w:rStyle w:val="Hipervnculo"/>
                  <w:rFonts w:ascii="Century Gothic" w:hAnsi="Century Gothic"/>
                  <w:color w:val="auto"/>
                  <w:sz w:val="16"/>
                  <w:szCs w:val="16"/>
                  <w:u w:val="none"/>
                </w:rPr>
                <w:t>http://www.sep.gob.mx/es/sep1/Matriz_de_Indicadores_</w:t>
              </w:r>
            </w:hyperlink>
          </w:p>
          <w:p w:rsidR="0059330D" w:rsidRPr="00BB2935" w:rsidRDefault="0059330D" w:rsidP="00C8577D">
            <w:pPr>
              <w:jc w:val="both"/>
              <w:rPr>
                <w:rStyle w:val="Hipervnculo"/>
                <w:rFonts w:ascii="Century Gothic" w:hAnsi="Century Gothic"/>
                <w:color w:val="auto"/>
                <w:sz w:val="16"/>
                <w:szCs w:val="16"/>
                <w:u w:val="none"/>
              </w:rPr>
            </w:pPr>
            <w:r w:rsidRPr="00BB2935">
              <w:rPr>
                <w:rStyle w:val="Hipervnculo"/>
                <w:rFonts w:ascii="Century Gothic" w:hAnsi="Century Gothic"/>
                <w:color w:val="auto"/>
                <w:sz w:val="16"/>
                <w:szCs w:val="16"/>
                <w:u w:val="none"/>
              </w:rPr>
              <w:lastRenderedPageBreak/>
              <w:t>para_Resultados_MIR_2015</w:t>
            </w:r>
          </w:p>
          <w:p w:rsidR="0059330D" w:rsidRPr="00BB2935" w:rsidRDefault="0059330D" w:rsidP="00775C67">
            <w:pPr>
              <w:jc w:val="both"/>
              <w:rPr>
                <w:rFonts w:ascii="Century Gothic" w:hAnsi="Century Gothic"/>
                <w:sz w:val="16"/>
                <w:szCs w:val="14"/>
              </w:rPr>
            </w:pPr>
          </w:p>
        </w:tc>
        <w:tc>
          <w:tcPr>
            <w:tcW w:w="2268" w:type="dxa"/>
            <w:vAlign w:val="center"/>
          </w:tcPr>
          <w:p w:rsidR="0059330D" w:rsidRPr="000743AB" w:rsidRDefault="0059330D" w:rsidP="00A61076">
            <w:pPr>
              <w:rPr>
                <w:rFonts w:ascii="Century Gothic" w:hAnsi="Century Gothic"/>
                <w:color w:val="000000"/>
                <w:sz w:val="16"/>
                <w:szCs w:val="14"/>
              </w:rPr>
            </w:pPr>
            <w:r w:rsidRPr="0033293B">
              <w:rPr>
                <w:rFonts w:ascii="Century Gothic" w:hAnsi="Century Gothic"/>
                <w:color w:val="000000"/>
                <w:sz w:val="16"/>
                <w:szCs w:val="14"/>
              </w:rPr>
              <w:lastRenderedPageBreak/>
              <w:t>Realizar MIR especifica del FONDO FONE</w:t>
            </w:r>
          </w:p>
        </w:tc>
        <w:tc>
          <w:tcPr>
            <w:tcW w:w="2268" w:type="dxa"/>
            <w:vAlign w:val="center"/>
          </w:tcPr>
          <w:p w:rsidR="0059330D" w:rsidRPr="000743AB" w:rsidRDefault="00A66134" w:rsidP="00A61076">
            <w:pPr>
              <w:pStyle w:val="Prrafodelista"/>
              <w:ind w:left="469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 xml:space="preserve">ATENDIDO </w:t>
            </w:r>
          </w:p>
        </w:tc>
        <w:tc>
          <w:tcPr>
            <w:tcW w:w="2268" w:type="dxa"/>
          </w:tcPr>
          <w:p w:rsidR="0059330D" w:rsidRDefault="0059330D" w:rsidP="00A61076">
            <w:pPr>
              <w:pStyle w:val="Prrafodelista"/>
              <w:ind w:left="469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A66134" w:rsidRDefault="00A66134" w:rsidP="00A61076">
            <w:pPr>
              <w:pStyle w:val="Prrafodelista"/>
              <w:ind w:left="469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A66134" w:rsidRDefault="00A66134" w:rsidP="00A61076">
            <w:pPr>
              <w:pStyle w:val="Prrafodelista"/>
              <w:ind w:left="469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A66134" w:rsidRDefault="00A66134" w:rsidP="00A61076">
            <w:pPr>
              <w:pStyle w:val="Prrafodelista"/>
              <w:ind w:left="469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A66134" w:rsidRPr="000743AB" w:rsidRDefault="00A66134" w:rsidP="00A66134">
            <w:pPr>
              <w:pStyle w:val="Prrafodelista"/>
              <w:ind w:left="469"/>
              <w:jc w:val="center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>100</w:t>
            </w:r>
          </w:p>
        </w:tc>
      </w:tr>
    </w:tbl>
    <w:p w:rsidR="00FA5330" w:rsidRDefault="00FA5330">
      <w:pPr>
        <w:rPr>
          <w:rFonts w:ascii="Arial" w:hAnsi="Arial" w:cs="Arial"/>
          <w:sz w:val="18"/>
          <w:szCs w:val="18"/>
        </w:rPr>
      </w:pPr>
    </w:p>
    <w:p w:rsidR="006B47DF" w:rsidRDefault="006B47DF">
      <w:pPr>
        <w:rPr>
          <w:rFonts w:ascii="Arial" w:hAnsi="Arial" w:cs="Arial"/>
          <w:sz w:val="18"/>
          <w:szCs w:val="18"/>
        </w:rPr>
      </w:pPr>
    </w:p>
    <w:p w:rsidR="006B47DF" w:rsidRDefault="006B47DF">
      <w:pPr>
        <w:rPr>
          <w:rFonts w:ascii="Arial" w:hAnsi="Arial" w:cs="Arial"/>
          <w:sz w:val="18"/>
          <w:szCs w:val="18"/>
        </w:rPr>
      </w:pPr>
    </w:p>
    <w:p w:rsidR="0033293B" w:rsidRDefault="0033293B">
      <w:pPr>
        <w:rPr>
          <w:rFonts w:ascii="Arial" w:hAnsi="Arial" w:cs="Arial"/>
          <w:sz w:val="18"/>
          <w:szCs w:val="18"/>
        </w:rPr>
      </w:pPr>
    </w:p>
    <w:p w:rsidR="006B47DF" w:rsidRPr="00F244EB" w:rsidRDefault="006B47DF" w:rsidP="006B47DF">
      <w:pPr>
        <w:jc w:val="both"/>
        <w:rPr>
          <w:rFonts w:ascii="Century Gothic" w:hAnsi="Century Gothic" w:cs="Arial"/>
          <w:b/>
          <w:sz w:val="18"/>
          <w:szCs w:val="16"/>
        </w:rPr>
      </w:pPr>
      <w:r w:rsidRPr="00F244EB">
        <w:rPr>
          <w:rFonts w:ascii="Century Gothic" w:hAnsi="Century Gothic" w:cs="Arial"/>
          <w:b/>
          <w:sz w:val="18"/>
          <w:szCs w:val="16"/>
        </w:rPr>
        <w:t xml:space="preserve">PÁGINA OFICIAL: </w:t>
      </w:r>
    </w:p>
    <w:p w:rsidR="0033293B" w:rsidRPr="00F244EB" w:rsidRDefault="0033293B" w:rsidP="006B47DF">
      <w:pPr>
        <w:jc w:val="both"/>
        <w:rPr>
          <w:rFonts w:ascii="Century Gothic" w:hAnsi="Century Gothic" w:cs="Arial"/>
          <w:b/>
          <w:sz w:val="18"/>
          <w:szCs w:val="16"/>
        </w:rPr>
      </w:pPr>
    </w:p>
    <w:p w:rsidR="006B47DF" w:rsidRPr="00F244EB" w:rsidRDefault="006B47DF" w:rsidP="006B47DF">
      <w:pPr>
        <w:jc w:val="both"/>
        <w:rPr>
          <w:rFonts w:ascii="Century Gothic" w:hAnsi="Century Gothic" w:cs="Arial"/>
          <w:sz w:val="18"/>
          <w:szCs w:val="16"/>
        </w:rPr>
      </w:pPr>
    </w:p>
    <w:p w:rsidR="006B47DF" w:rsidRPr="00F244EB" w:rsidRDefault="006B47DF" w:rsidP="006B47DF">
      <w:pPr>
        <w:pStyle w:val="Prrafodelista"/>
        <w:numPr>
          <w:ilvl w:val="0"/>
          <w:numId w:val="10"/>
        </w:numPr>
        <w:jc w:val="both"/>
        <w:rPr>
          <w:rFonts w:ascii="Century Gothic" w:hAnsi="Century Gothic" w:cs="Arial"/>
          <w:sz w:val="18"/>
          <w:szCs w:val="16"/>
        </w:rPr>
      </w:pPr>
      <w:r w:rsidRPr="00F244EB">
        <w:rPr>
          <w:rFonts w:ascii="Century Gothic" w:hAnsi="Century Gothic" w:cs="Arial"/>
          <w:sz w:val="18"/>
          <w:szCs w:val="16"/>
        </w:rPr>
        <w:t>Definir una MIR a nivel estatal exclusiva del FONE, que coadyuve a robustecer el seguimiento y evaluación del Fondo.</w:t>
      </w:r>
    </w:p>
    <w:p w:rsidR="006B47DF" w:rsidRPr="00F244EB" w:rsidRDefault="006B47DF" w:rsidP="006B47DF">
      <w:pPr>
        <w:pStyle w:val="Prrafodelista"/>
        <w:jc w:val="both"/>
        <w:rPr>
          <w:rFonts w:ascii="Century Gothic" w:hAnsi="Century Gothic" w:cs="Arial"/>
          <w:sz w:val="18"/>
          <w:szCs w:val="16"/>
        </w:rPr>
      </w:pPr>
    </w:p>
    <w:p w:rsidR="006B47DF" w:rsidRPr="00F244EB" w:rsidRDefault="006B47DF" w:rsidP="006B47DF">
      <w:pPr>
        <w:pStyle w:val="Prrafodelista"/>
        <w:numPr>
          <w:ilvl w:val="0"/>
          <w:numId w:val="10"/>
        </w:numPr>
        <w:jc w:val="both"/>
        <w:rPr>
          <w:rFonts w:ascii="Century Gothic" w:hAnsi="Century Gothic" w:cs="Arial"/>
          <w:sz w:val="18"/>
          <w:szCs w:val="16"/>
        </w:rPr>
      </w:pPr>
      <w:r w:rsidRPr="00F244EB">
        <w:rPr>
          <w:rFonts w:ascii="Century Gothic" w:hAnsi="Century Gothic" w:cs="Arial"/>
          <w:sz w:val="18"/>
          <w:szCs w:val="16"/>
        </w:rPr>
        <w:t xml:space="preserve">En cuanto a su página oficial de la Secretaría: </w:t>
      </w:r>
    </w:p>
    <w:p w:rsidR="006B47DF" w:rsidRPr="00F244EB" w:rsidRDefault="006B47DF" w:rsidP="006B47DF">
      <w:pPr>
        <w:pStyle w:val="Prrafodelista"/>
        <w:numPr>
          <w:ilvl w:val="0"/>
          <w:numId w:val="11"/>
        </w:numPr>
        <w:jc w:val="both"/>
        <w:rPr>
          <w:rFonts w:ascii="Century Gothic" w:hAnsi="Century Gothic" w:cs="Arial"/>
          <w:sz w:val="18"/>
          <w:szCs w:val="16"/>
        </w:rPr>
      </w:pPr>
      <w:r w:rsidRPr="00F244EB">
        <w:rPr>
          <w:rFonts w:ascii="Century Gothic" w:hAnsi="Century Gothic" w:cs="Arial"/>
          <w:sz w:val="18"/>
          <w:szCs w:val="16"/>
        </w:rPr>
        <w:t>Matriz de Indicadores para Resultados (MIR 2016)</w:t>
      </w:r>
    </w:p>
    <w:p w:rsidR="006B47DF" w:rsidRPr="00F244EB" w:rsidRDefault="006B47DF" w:rsidP="006B47DF">
      <w:pPr>
        <w:pStyle w:val="Prrafodelista"/>
        <w:numPr>
          <w:ilvl w:val="0"/>
          <w:numId w:val="11"/>
        </w:numPr>
        <w:jc w:val="both"/>
        <w:rPr>
          <w:rFonts w:ascii="Century Gothic" w:hAnsi="Century Gothic" w:cs="Arial"/>
          <w:sz w:val="18"/>
          <w:szCs w:val="16"/>
        </w:rPr>
      </w:pPr>
      <w:r w:rsidRPr="00F244EB">
        <w:rPr>
          <w:rFonts w:ascii="Century Gothic" w:hAnsi="Century Gothic" w:cs="Arial"/>
          <w:sz w:val="18"/>
          <w:szCs w:val="16"/>
        </w:rPr>
        <w:t>Reporte de Indicadores</w:t>
      </w:r>
    </w:p>
    <w:p w:rsidR="006B47DF" w:rsidRPr="00F244EB" w:rsidRDefault="006B47DF" w:rsidP="006B47DF">
      <w:pPr>
        <w:pStyle w:val="Prrafodelista"/>
        <w:numPr>
          <w:ilvl w:val="0"/>
          <w:numId w:val="11"/>
        </w:numPr>
        <w:jc w:val="both"/>
        <w:rPr>
          <w:rFonts w:ascii="Century Gothic" w:hAnsi="Century Gothic" w:cs="Arial"/>
          <w:sz w:val="18"/>
          <w:szCs w:val="16"/>
        </w:rPr>
      </w:pPr>
      <w:r w:rsidRPr="00F244EB">
        <w:rPr>
          <w:rFonts w:ascii="Century Gothic" w:hAnsi="Century Gothic" w:cs="Arial"/>
          <w:sz w:val="18"/>
          <w:szCs w:val="16"/>
        </w:rPr>
        <w:t>Programa Anual de Evaluación 2017 (Evaluando Ejercicio 2016)</w:t>
      </w:r>
    </w:p>
    <w:p w:rsidR="006B47DF" w:rsidRPr="00F244EB" w:rsidRDefault="006B47DF" w:rsidP="006B47DF">
      <w:pPr>
        <w:pStyle w:val="Prrafodelista"/>
        <w:numPr>
          <w:ilvl w:val="0"/>
          <w:numId w:val="11"/>
        </w:numPr>
        <w:jc w:val="both"/>
        <w:rPr>
          <w:rFonts w:ascii="Century Gothic" w:hAnsi="Century Gothic" w:cs="Arial"/>
          <w:sz w:val="18"/>
          <w:szCs w:val="16"/>
        </w:rPr>
      </w:pPr>
      <w:r w:rsidRPr="00F244EB">
        <w:rPr>
          <w:rFonts w:ascii="Century Gothic" w:hAnsi="Century Gothic" w:cs="Arial"/>
          <w:sz w:val="18"/>
          <w:szCs w:val="16"/>
        </w:rPr>
        <w:t>Evaluación de FONE 2016</w:t>
      </w:r>
    </w:p>
    <w:p w:rsidR="006B47DF" w:rsidRPr="00D2727A" w:rsidRDefault="006B47DF">
      <w:pPr>
        <w:rPr>
          <w:rFonts w:ascii="Arial" w:hAnsi="Arial" w:cs="Arial"/>
          <w:sz w:val="18"/>
          <w:szCs w:val="18"/>
        </w:rPr>
      </w:pPr>
    </w:p>
    <w:sectPr w:rsidR="006B47DF" w:rsidRPr="00D2727A" w:rsidSect="0059330D">
      <w:headerReference w:type="default" r:id="rId10"/>
      <w:pgSz w:w="20160" w:h="12240" w:orient="landscape" w:code="5"/>
      <w:pgMar w:top="1037" w:right="1417" w:bottom="1701" w:left="709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990" w:rsidRDefault="00DC3990" w:rsidP="0003382F">
      <w:r>
        <w:separator/>
      </w:r>
    </w:p>
  </w:endnote>
  <w:endnote w:type="continuationSeparator" w:id="0">
    <w:p w:rsidR="00DC3990" w:rsidRDefault="00DC3990" w:rsidP="00033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990" w:rsidRDefault="00DC3990" w:rsidP="0003382F">
      <w:r>
        <w:separator/>
      </w:r>
    </w:p>
  </w:footnote>
  <w:footnote w:type="continuationSeparator" w:id="0">
    <w:p w:rsidR="00DC3990" w:rsidRDefault="00DC3990" w:rsidP="000338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82F" w:rsidRDefault="0003382F" w:rsidP="0003382F">
    <w:pPr>
      <w:pStyle w:val="Encabezado"/>
      <w:jc w:val="right"/>
    </w:pPr>
    <w:r>
      <w:rPr>
        <w:noProof/>
        <w:lang w:val="es-MX"/>
      </w:rPr>
      <w:drawing>
        <wp:anchor distT="0" distB="0" distL="114300" distR="114300" simplePos="0" relativeHeight="251659264" behindDoc="0" locked="0" layoutInCell="1" allowOverlap="1" wp14:anchorId="3764BB1A" wp14:editId="2E6A9BEE">
          <wp:simplePos x="0" y="0"/>
          <wp:positionH relativeFrom="column">
            <wp:posOffset>-3175</wp:posOffset>
          </wp:positionH>
          <wp:positionV relativeFrom="paragraph">
            <wp:posOffset>67945</wp:posOffset>
          </wp:positionV>
          <wp:extent cx="1752600" cy="354330"/>
          <wp:effectExtent l="0" t="0" r="0" b="762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0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354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/>
      </w:rPr>
      <w:drawing>
        <wp:inline distT="0" distB="0" distL="0" distR="0" wp14:anchorId="4AECB7E0" wp14:editId="7656F1FA">
          <wp:extent cx="1752600" cy="367471"/>
          <wp:effectExtent l="0" t="0" r="0" b="0"/>
          <wp:docPr id="5" name="Imagen 5" descr="C:\Users\DTED\Downloads\SPF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TED\Downloads\SPF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4360" cy="36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3382F" w:rsidRDefault="0003382F" w:rsidP="0003382F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83420"/>
    <w:multiLevelType w:val="multilevel"/>
    <w:tmpl w:val="CBC27B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4D9155B"/>
    <w:multiLevelType w:val="hybridMultilevel"/>
    <w:tmpl w:val="048A6F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3B07"/>
    <w:multiLevelType w:val="hybridMultilevel"/>
    <w:tmpl w:val="F63286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02920"/>
    <w:multiLevelType w:val="hybridMultilevel"/>
    <w:tmpl w:val="CBE81BD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343BA6"/>
    <w:multiLevelType w:val="hybridMultilevel"/>
    <w:tmpl w:val="0D7EF1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423397"/>
    <w:multiLevelType w:val="hybridMultilevel"/>
    <w:tmpl w:val="D600616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DB0C19"/>
    <w:multiLevelType w:val="hybridMultilevel"/>
    <w:tmpl w:val="0FAA39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8B5141"/>
    <w:multiLevelType w:val="hybridMultilevel"/>
    <w:tmpl w:val="7D12A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5407FF"/>
    <w:multiLevelType w:val="hybridMultilevel"/>
    <w:tmpl w:val="EE109A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FE17E0"/>
    <w:multiLevelType w:val="hybridMultilevel"/>
    <w:tmpl w:val="569AD8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3459E0"/>
    <w:multiLevelType w:val="hybridMultilevel"/>
    <w:tmpl w:val="E6723A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A4373F"/>
    <w:multiLevelType w:val="hybridMultilevel"/>
    <w:tmpl w:val="3FEA758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7"/>
  </w:num>
  <w:num w:numId="5">
    <w:abstractNumId w:val="1"/>
  </w:num>
  <w:num w:numId="6">
    <w:abstractNumId w:val="6"/>
  </w:num>
  <w:num w:numId="7">
    <w:abstractNumId w:val="4"/>
  </w:num>
  <w:num w:numId="8">
    <w:abstractNumId w:val="8"/>
  </w:num>
  <w:num w:numId="9">
    <w:abstractNumId w:val="9"/>
  </w:num>
  <w:num w:numId="10">
    <w:abstractNumId w:val="5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F3"/>
    <w:rsid w:val="0000073A"/>
    <w:rsid w:val="00007AE6"/>
    <w:rsid w:val="0003382F"/>
    <w:rsid w:val="00063C54"/>
    <w:rsid w:val="00064DFF"/>
    <w:rsid w:val="000743AB"/>
    <w:rsid w:val="000C3DDB"/>
    <w:rsid w:val="00127557"/>
    <w:rsid w:val="001320F5"/>
    <w:rsid w:val="00137F27"/>
    <w:rsid w:val="00145510"/>
    <w:rsid w:val="00171994"/>
    <w:rsid w:val="001759FD"/>
    <w:rsid w:val="001F1975"/>
    <w:rsid w:val="00211F0A"/>
    <w:rsid w:val="002A2AB7"/>
    <w:rsid w:val="002D71AE"/>
    <w:rsid w:val="002F3DED"/>
    <w:rsid w:val="002F7690"/>
    <w:rsid w:val="0033293B"/>
    <w:rsid w:val="00337E90"/>
    <w:rsid w:val="00341035"/>
    <w:rsid w:val="00364ACF"/>
    <w:rsid w:val="00372398"/>
    <w:rsid w:val="00390D50"/>
    <w:rsid w:val="004011E9"/>
    <w:rsid w:val="00437D2A"/>
    <w:rsid w:val="00441AB7"/>
    <w:rsid w:val="004B2EFC"/>
    <w:rsid w:val="004D2461"/>
    <w:rsid w:val="004F0B8C"/>
    <w:rsid w:val="00506920"/>
    <w:rsid w:val="0052412D"/>
    <w:rsid w:val="00525DBB"/>
    <w:rsid w:val="00563426"/>
    <w:rsid w:val="0056482B"/>
    <w:rsid w:val="005728CE"/>
    <w:rsid w:val="0059330D"/>
    <w:rsid w:val="00630FC9"/>
    <w:rsid w:val="00662783"/>
    <w:rsid w:val="00662AD1"/>
    <w:rsid w:val="00663810"/>
    <w:rsid w:val="00674883"/>
    <w:rsid w:val="006B47DF"/>
    <w:rsid w:val="006B7C93"/>
    <w:rsid w:val="0074698C"/>
    <w:rsid w:val="00754646"/>
    <w:rsid w:val="00755797"/>
    <w:rsid w:val="00755A49"/>
    <w:rsid w:val="0076786D"/>
    <w:rsid w:val="007A6053"/>
    <w:rsid w:val="007F1625"/>
    <w:rsid w:val="00885000"/>
    <w:rsid w:val="008E19F3"/>
    <w:rsid w:val="00905341"/>
    <w:rsid w:val="00912D1C"/>
    <w:rsid w:val="00923E8B"/>
    <w:rsid w:val="00953C47"/>
    <w:rsid w:val="00975BEF"/>
    <w:rsid w:val="0097683E"/>
    <w:rsid w:val="00A030FD"/>
    <w:rsid w:val="00A50C6E"/>
    <w:rsid w:val="00A61076"/>
    <w:rsid w:val="00A66134"/>
    <w:rsid w:val="00A663E8"/>
    <w:rsid w:val="00A76C7F"/>
    <w:rsid w:val="00A92AB2"/>
    <w:rsid w:val="00AA0C30"/>
    <w:rsid w:val="00AC4120"/>
    <w:rsid w:val="00B25390"/>
    <w:rsid w:val="00B3509D"/>
    <w:rsid w:val="00B66195"/>
    <w:rsid w:val="00B91F80"/>
    <w:rsid w:val="00BA44D1"/>
    <w:rsid w:val="00BB2935"/>
    <w:rsid w:val="00C01353"/>
    <w:rsid w:val="00C0333C"/>
    <w:rsid w:val="00C14F02"/>
    <w:rsid w:val="00C173C2"/>
    <w:rsid w:val="00C26163"/>
    <w:rsid w:val="00C37CC8"/>
    <w:rsid w:val="00C47C24"/>
    <w:rsid w:val="00C8577D"/>
    <w:rsid w:val="00C862F0"/>
    <w:rsid w:val="00D15BE4"/>
    <w:rsid w:val="00D20674"/>
    <w:rsid w:val="00D2727A"/>
    <w:rsid w:val="00D35DC5"/>
    <w:rsid w:val="00D51AE3"/>
    <w:rsid w:val="00D74625"/>
    <w:rsid w:val="00D825BC"/>
    <w:rsid w:val="00DB0A59"/>
    <w:rsid w:val="00DB10E0"/>
    <w:rsid w:val="00DC3990"/>
    <w:rsid w:val="00DD3F80"/>
    <w:rsid w:val="00DE6E7C"/>
    <w:rsid w:val="00E3502F"/>
    <w:rsid w:val="00E75B0B"/>
    <w:rsid w:val="00E83EC7"/>
    <w:rsid w:val="00E97343"/>
    <w:rsid w:val="00EB281E"/>
    <w:rsid w:val="00F10351"/>
    <w:rsid w:val="00F141D0"/>
    <w:rsid w:val="00F2371D"/>
    <w:rsid w:val="00F244EB"/>
    <w:rsid w:val="00F33E57"/>
    <w:rsid w:val="00F460F4"/>
    <w:rsid w:val="00F57564"/>
    <w:rsid w:val="00F6076C"/>
    <w:rsid w:val="00F754C8"/>
    <w:rsid w:val="00F952F3"/>
    <w:rsid w:val="00FA5330"/>
    <w:rsid w:val="00FF5E04"/>
    <w:rsid w:val="00FF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BB1DCB-852C-4039-B140-AEA19FAFB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19F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qFormat/>
    <w:rsid w:val="008E19F3"/>
    <w:pPr>
      <w:spacing w:after="101" w:line="216" w:lineRule="exact"/>
      <w:ind w:firstLine="288"/>
      <w:jc w:val="both"/>
    </w:pPr>
    <w:rPr>
      <w:rFonts w:ascii="Arial" w:hAnsi="Arial" w:cs="Arial"/>
      <w:sz w:val="18"/>
      <w:lang w:eastAsia="es-ES"/>
    </w:rPr>
  </w:style>
  <w:style w:type="character" w:customStyle="1" w:styleId="TextoCar">
    <w:name w:val="Texto Car"/>
    <w:link w:val="Texto"/>
    <w:locked/>
    <w:rsid w:val="008E19F3"/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6B7C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Encabezado">
    <w:name w:val="header"/>
    <w:basedOn w:val="Normal"/>
    <w:link w:val="EncabezadoCar"/>
    <w:uiPriority w:val="99"/>
    <w:unhideWhenUsed/>
    <w:rsid w:val="0003382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3382F"/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Piedepgina">
    <w:name w:val="footer"/>
    <w:basedOn w:val="Normal"/>
    <w:link w:val="PiedepginaCar"/>
    <w:uiPriority w:val="99"/>
    <w:unhideWhenUsed/>
    <w:rsid w:val="0003382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82F"/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382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82F"/>
    <w:rPr>
      <w:rFonts w:ascii="Tahoma" w:eastAsia="Times New Roman" w:hAnsi="Tahoma" w:cs="Tahoma"/>
      <w:sz w:val="16"/>
      <w:szCs w:val="16"/>
      <w:lang w:val="es-ES" w:eastAsia="es-MX"/>
    </w:rPr>
  </w:style>
  <w:style w:type="table" w:customStyle="1" w:styleId="Tablanormal11">
    <w:name w:val="Tabla normal 11"/>
    <w:basedOn w:val="Tablanormal"/>
    <w:uiPriority w:val="41"/>
    <w:rsid w:val="00C2616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C857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p.gob.mx/es/sep1/Matriz_de_Indicadores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ep.gob.mx/es/sep1/Matriz_de_Indicadores_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ep.gob.mx/es/sep1/Matriz_de_Indicadores_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3</Pages>
  <Words>917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Alfonso Nava Morales</dc:creator>
  <cp:keywords/>
  <dc:description/>
  <cp:lastModifiedBy>Planeación</cp:lastModifiedBy>
  <cp:revision>52</cp:revision>
  <cp:lastPrinted>2018-04-11T22:58:00Z</cp:lastPrinted>
  <dcterms:created xsi:type="dcterms:W3CDTF">2017-03-15T23:36:00Z</dcterms:created>
  <dcterms:modified xsi:type="dcterms:W3CDTF">2018-04-11T23:20:00Z</dcterms:modified>
</cp:coreProperties>
</file>