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82F" w:rsidRDefault="00E27FB4" w:rsidP="0003382F">
      <w:pPr>
        <w:pStyle w:val="Texto"/>
        <w:spacing w:line="252" w:lineRule="exact"/>
        <w:ind w:firstLine="0"/>
        <w:jc w:val="center"/>
        <w:rPr>
          <w:b/>
          <w:sz w:val="20"/>
          <w:szCs w:val="18"/>
        </w:rPr>
      </w:pPr>
      <w:r>
        <w:rPr>
          <w:b/>
          <w:sz w:val="20"/>
          <w:szCs w:val="18"/>
        </w:rPr>
        <w:t>Seguimiento de Evaluaciones</w:t>
      </w:r>
    </w:p>
    <w:p w:rsidR="0003382F" w:rsidRPr="001B1CEB" w:rsidRDefault="0003382F" w:rsidP="00E27FB4">
      <w:pPr>
        <w:pStyle w:val="Texto"/>
        <w:spacing w:after="0" w:line="240" w:lineRule="auto"/>
        <w:ind w:firstLine="0"/>
        <w:jc w:val="center"/>
        <w:rPr>
          <w:b/>
          <w:color w:val="000000"/>
          <w:sz w:val="20"/>
          <w:szCs w:val="18"/>
          <w:lang w:eastAsia="es-MX"/>
        </w:rPr>
      </w:pPr>
      <w:r w:rsidRPr="001B1CEB">
        <w:rPr>
          <w:b/>
          <w:color w:val="000000"/>
          <w:sz w:val="20"/>
          <w:szCs w:val="18"/>
          <w:lang w:eastAsia="es-MX"/>
        </w:rPr>
        <w:t>Evaluación Integral del Desempeño</w:t>
      </w:r>
      <w:r w:rsidR="00E27FB4">
        <w:rPr>
          <w:b/>
          <w:color w:val="000000"/>
          <w:sz w:val="20"/>
          <w:szCs w:val="18"/>
          <w:lang w:eastAsia="es-MX"/>
        </w:rPr>
        <w:t xml:space="preserve"> </w:t>
      </w:r>
      <w:r w:rsidR="00E062E8">
        <w:rPr>
          <w:b/>
          <w:color w:val="000000"/>
          <w:sz w:val="20"/>
          <w:szCs w:val="18"/>
          <w:lang w:eastAsia="es-MX"/>
        </w:rPr>
        <w:t xml:space="preserve">Cuota </w:t>
      </w:r>
      <w:proofErr w:type="gramStart"/>
      <w:r w:rsidR="00E062E8">
        <w:rPr>
          <w:b/>
          <w:color w:val="000000"/>
          <w:sz w:val="20"/>
          <w:szCs w:val="18"/>
          <w:lang w:eastAsia="es-MX"/>
        </w:rPr>
        <w:t xml:space="preserve">Social </w:t>
      </w:r>
      <w:r w:rsidR="00E45DBF">
        <w:rPr>
          <w:b/>
          <w:color w:val="000000"/>
          <w:sz w:val="20"/>
          <w:szCs w:val="18"/>
          <w:lang w:eastAsia="es-MX"/>
        </w:rPr>
        <w:t xml:space="preserve"> y</w:t>
      </w:r>
      <w:proofErr w:type="gramEnd"/>
      <w:r w:rsidR="00376A12">
        <w:rPr>
          <w:b/>
          <w:color w:val="000000"/>
          <w:sz w:val="20"/>
          <w:szCs w:val="18"/>
          <w:lang w:eastAsia="es-MX"/>
        </w:rPr>
        <w:t xml:space="preserve"> </w:t>
      </w:r>
      <w:r w:rsidR="00E062E8">
        <w:rPr>
          <w:b/>
          <w:color w:val="000000"/>
          <w:sz w:val="20"/>
          <w:szCs w:val="18"/>
          <w:lang w:eastAsia="es-MX"/>
        </w:rPr>
        <w:t xml:space="preserve">Aportación Solidaria Federal, </w:t>
      </w:r>
      <w:r w:rsidR="00376A12">
        <w:rPr>
          <w:b/>
          <w:color w:val="000000"/>
          <w:sz w:val="20"/>
          <w:szCs w:val="18"/>
          <w:lang w:eastAsia="es-MX"/>
        </w:rPr>
        <w:t xml:space="preserve">Seguro Médico Siglo XXI </w:t>
      </w:r>
      <w:r w:rsidR="00E45DBF">
        <w:rPr>
          <w:b/>
          <w:color w:val="000000"/>
          <w:sz w:val="20"/>
          <w:szCs w:val="18"/>
          <w:lang w:eastAsia="es-MX"/>
        </w:rPr>
        <w:t xml:space="preserve"> </w:t>
      </w:r>
      <w:r w:rsidR="001B1CEB">
        <w:rPr>
          <w:b/>
          <w:color w:val="000000"/>
          <w:sz w:val="20"/>
          <w:szCs w:val="18"/>
          <w:lang w:eastAsia="es-MX"/>
        </w:rPr>
        <w:t>2016</w:t>
      </w:r>
    </w:p>
    <w:p w:rsidR="00F515C3" w:rsidRPr="001B1CEB" w:rsidRDefault="00F515C3" w:rsidP="008E19F3">
      <w:pPr>
        <w:pStyle w:val="Texto"/>
        <w:spacing w:line="252" w:lineRule="exact"/>
        <w:ind w:firstLine="0"/>
        <w:jc w:val="center"/>
        <w:rPr>
          <w:b/>
          <w:szCs w:val="18"/>
        </w:rPr>
      </w:pPr>
    </w:p>
    <w:tbl>
      <w:tblPr>
        <w:tblStyle w:val="Tablaconcuadrcula"/>
        <w:tblW w:w="16161" w:type="dxa"/>
        <w:jc w:val="center"/>
        <w:tblLayout w:type="fixed"/>
        <w:tblLook w:val="04A0" w:firstRow="1" w:lastRow="0" w:firstColumn="1" w:lastColumn="0" w:noHBand="0" w:noVBand="1"/>
      </w:tblPr>
      <w:tblGrid>
        <w:gridCol w:w="2416"/>
        <w:gridCol w:w="3397"/>
        <w:gridCol w:w="3260"/>
        <w:gridCol w:w="2552"/>
        <w:gridCol w:w="2268"/>
        <w:gridCol w:w="2268"/>
      </w:tblGrid>
      <w:tr w:rsidR="00FE2B50" w:rsidRPr="00CD54DE" w:rsidTr="009358FA">
        <w:trPr>
          <w:trHeight w:val="720"/>
          <w:tblHeader/>
          <w:jc w:val="center"/>
        </w:trPr>
        <w:tc>
          <w:tcPr>
            <w:tcW w:w="2416" w:type="dxa"/>
            <w:shd w:val="clear" w:color="auto" w:fill="1F3864" w:themeFill="accent5" w:themeFillShade="80"/>
            <w:vAlign w:val="center"/>
          </w:tcPr>
          <w:p w:rsidR="00FE2B50" w:rsidRPr="00692ADE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bookmarkStart w:id="0" w:name="_GoBack"/>
            <w:r w:rsidRPr="00692ADE">
              <w:rPr>
                <w:rFonts w:ascii="Century Gothic" w:hAnsi="Century Gothic"/>
                <w:b/>
                <w:color w:val="FFFFFF" w:themeColor="background1"/>
                <w:sz w:val="18"/>
              </w:rPr>
              <w:t>ASM</w:t>
            </w:r>
          </w:p>
        </w:tc>
        <w:tc>
          <w:tcPr>
            <w:tcW w:w="3397" w:type="dxa"/>
            <w:shd w:val="clear" w:color="auto" w:fill="1F3864" w:themeFill="accent5" w:themeFillShade="80"/>
            <w:vAlign w:val="center"/>
          </w:tcPr>
          <w:p w:rsidR="00FE2B50" w:rsidRPr="00692ADE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 w:rsidRPr="00692ADE">
              <w:rPr>
                <w:rFonts w:ascii="Century Gothic" w:hAnsi="Century Gothic"/>
                <w:b/>
                <w:color w:val="FFFFFF" w:themeColor="background1"/>
                <w:sz w:val="18"/>
              </w:rPr>
              <w:t>Actividades</w:t>
            </w:r>
          </w:p>
        </w:tc>
        <w:tc>
          <w:tcPr>
            <w:tcW w:w="3260" w:type="dxa"/>
            <w:shd w:val="clear" w:color="auto" w:fill="1F3864" w:themeFill="accent5" w:themeFillShade="80"/>
            <w:vAlign w:val="center"/>
          </w:tcPr>
          <w:p w:rsidR="00FE2B50" w:rsidRPr="00692ADE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 w:rsidRPr="00692ADE">
              <w:rPr>
                <w:rFonts w:ascii="Century Gothic" w:hAnsi="Century Gothic"/>
                <w:b/>
                <w:color w:val="FFFFFF" w:themeColor="background1"/>
                <w:sz w:val="18"/>
              </w:rPr>
              <w:t>Resultados Esperados</w:t>
            </w:r>
          </w:p>
          <w:p w:rsidR="00FE2B50" w:rsidRPr="00692ADE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</w:tc>
        <w:tc>
          <w:tcPr>
            <w:tcW w:w="2552" w:type="dxa"/>
            <w:shd w:val="clear" w:color="auto" w:fill="1F3864" w:themeFill="accent5" w:themeFillShade="80"/>
            <w:vAlign w:val="center"/>
          </w:tcPr>
          <w:p w:rsidR="00FE2B50" w:rsidRPr="00692ADE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 w:rsidRPr="00692ADE">
              <w:rPr>
                <w:rFonts w:ascii="Century Gothic" w:hAnsi="Century Gothic"/>
                <w:b/>
                <w:color w:val="FFFFFF" w:themeColor="background1"/>
                <w:sz w:val="18"/>
              </w:rPr>
              <w:t>Observaciones</w:t>
            </w:r>
          </w:p>
        </w:tc>
        <w:tc>
          <w:tcPr>
            <w:tcW w:w="2268" w:type="dxa"/>
            <w:shd w:val="clear" w:color="auto" w:fill="1F3864" w:themeFill="accent5" w:themeFillShade="80"/>
          </w:tcPr>
          <w:p w:rsidR="00FE2B50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  <w:p w:rsidR="00FE2B50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</w:rPr>
              <w:t>Mejora</w:t>
            </w:r>
          </w:p>
          <w:p w:rsidR="00FE2B50" w:rsidRPr="00692ADE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</w:tc>
        <w:tc>
          <w:tcPr>
            <w:tcW w:w="2268" w:type="dxa"/>
            <w:shd w:val="clear" w:color="auto" w:fill="1F3864" w:themeFill="accent5" w:themeFillShade="80"/>
          </w:tcPr>
          <w:p w:rsidR="00FE2B50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  <w:p w:rsidR="00FE2B50" w:rsidRDefault="00FE2B50" w:rsidP="00692ADE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</w:rPr>
              <w:t>Avance</w:t>
            </w:r>
          </w:p>
        </w:tc>
      </w:tr>
      <w:tr w:rsidR="00FE2B50" w:rsidRPr="00CD54DE" w:rsidTr="009358FA">
        <w:trPr>
          <w:jc w:val="center"/>
        </w:trPr>
        <w:tc>
          <w:tcPr>
            <w:tcW w:w="2416" w:type="dxa"/>
          </w:tcPr>
          <w:p w:rsidR="00FE2B50" w:rsidRPr="003E5272" w:rsidRDefault="00FE2B50" w:rsidP="003E5272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/>
                <w:sz w:val="16"/>
              </w:rPr>
            </w:pPr>
          </w:p>
          <w:p w:rsidR="00FE2B50" w:rsidRPr="00CD54DE" w:rsidRDefault="00FE2B50" w:rsidP="003F5BBE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Century Gothic" w:hAnsi="Century Gothic"/>
                <w:sz w:val="16"/>
              </w:rPr>
            </w:pPr>
            <w:r w:rsidRPr="006519DA">
              <w:rPr>
                <w:rFonts w:ascii="Century Gothic" w:hAnsi="Century Gothic"/>
                <w:b/>
                <w:sz w:val="16"/>
              </w:rPr>
              <w:t>Estadísticas del Padrón</w:t>
            </w:r>
            <w:r>
              <w:rPr>
                <w:rFonts w:ascii="Century Gothic" w:hAnsi="Century Gothic"/>
                <w:sz w:val="16"/>
              </w:rPr>
              <w:t xml:space="preserve">, clasificación de información para una mejor planeación de servicios. </w:t>
            </w:r>
          </w:p>
        </w:tc>
        <w:tc>
          <w:tcPr>
            <w:tcW w:w="3397" w:type="dxa"/>
          </w:tcPr>
          <w:p w:rsidR="00FE2B50" w:rsidRDefault="00FE2B50" w:rsidP="004A08DD">
            <w:pPr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3E5272">
              <w:rPr>
                <w:rFonts w:ascii="Century Gothic" w:hAnsi="Century Gothic"/>
                <w:b/>
                <w:sz w:val="18"/>
              </w:rPr>
              <w:t>Campañas permanentes de promoción y difusión en medios masivos de comunicación, prensa escrita y publicación en la página web del Régimen Estatal</w:t>
            </w:r>
            <w:r>
              <w:rPr>
                <w:rFonts w:ascii="Century Gothic" w:hAnsi="Century Gothic"/>
                <w:sz w:val="18"/>
              </w:rPr>
              <w:t>, poniendo a disposición de la población la información referente a los trámites y en servicios que les permitan acceder al Sistema de Protección Social en Salud.</w:t>
            </w: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Pr="00CD54DE" w:rsidRDefault="00FE2B50" w:rsidP="003E5272">
            <w:pPr>
              <w:jc w:val="both"/>
              <w:rPr>
                <w:rFonts w:ascii="Century Gothic" w:hAnsi="Century Gothic"/>
                <w:sz w:val="18"/>
              </w:rPr>
            </w:pPr>
            <w:r w:rsidRPr="003E5272">
              <w:rPr>
                <w:rFonts w:ascii="Century Gothic" w:hAnsi="Century Gothic"/>
                <w:b/>
                <w:sz w:val="18"/>
              </w:rPr>
              <w:t>Vinculación con las autoridades municipales para la promoción y difusión de los beneficios del sistema</w:t>
            </w:r>
            <w:r>
              <w:rPr>
                <w:rFonts w:ascii="Century Gothic" w:hAnsi="Century Gothic"/>
                <w:sz w:val="18"/>
              </w:rPr>
              <w:t xml:space="preserve"> por medio de la participación del personal del Departamento de Afiliación y Operación </w:t>
            </w:r>
          </w:p>
        </w:tc>
        <w:tc>
          <w:tcPr>
            <w:tcW w:w="3260" w:type="dxa"/>
          </w:tcPr>
          <w:p w:rsidR="00FE2B50" w:rsidRDefault="00FE2B50" w:rsidP="004A08DD">
            <w:pPr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3E5272">
              <w:rPr>
                <w:rFonts w:ascii="Century Gothic" w:hAnsi="Century Gothic"/>
                <w:b/>
                <w:sz w:val="18"/>
              </w:rPr>
              <w:t>Capacitación para autoridades y por medio de esto difusión a la población s</w:t>
            </w:r>
            <w:r>
              <w:rPr>
                <w:rFonts w:ascii="Century Gothic" w:hAnsi="Century Gothic"/>
                <w:sz w:val="18"/>
              </w:rPr>
              <w:t>obre las bondades del Sistema de Protección Social en Salud.</w:t>
            </w: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Se espera lograr gradualmente el </w:t>
            </w:r>
            <w:r w:rsidRPr="003E5272">
              <w:rPr>
                <w:rFonts w:ascii="Century Gothic" w:hAnsi="Century Gothic"/>
                <w:b/>
                <w:sz w:val="18"/>
              </w:rPr>
              <w:t>empoderamiento del beneficiario</w:t>
            </w:r>
            <w:r>
              <w:rPr>
                <w:rFonts w:ascii="Century Gothic" w:hAnsi="Century Gothic"/>
                <w:sz w:val="18"/>
              </w:rPr>
              <w:t xml:space="preserve"> mediante la difusión de sus derechos y obligaciones.</w:t>
            </w: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Pr="00CD54DE" w:rsidRDefault="00FE2B50" w:rsidP="003E5272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Al </w:t>
            </w:r>
            <w:r w:rsidRPr="003E5272">
              <w:rPr>
                <w:rFonts w:ascii="Century Gothic" w:hAnsi="Century Gothic"/>
                <w:b/>
                <w:sz w:val="18"/>
              </w:rPr>
              <w:t>establecer la vinculación</w:t>
            </w:r>
            <w:r>
              <w:rPr>
                <w:rFonts w:ascii="Century Gothic" w:hAnsi="Century Gothic"/>
                <w:sz w:val="18"/>
              </w:rPr>
              <w:t xml:space="preserve"> en participación de los cabildos para dar a conocer el Sistema de Protección Social en Salud</w:t>
            </w:r>
          </w:p>
        </w:tc>
        <w:tc>
          <w:tcPr>
            <w:tcW w:w="2552" w:type="dxa"/>
          </w:tcPr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Anexan liga para estadísticas 2016.</w:t>
            </w:r>
          </w:p>
          <w:p w:rsidR="00FE2B50" w:rsidRDefault="009358FA" w:rsidP="004A08DD">
            <w:pPr>
              <w:jc w:val="both"/>
              <w:rPr>
                <w:rStyle w:val="Hipervnculo"/>
                <w:rFonts w:ascii="Century Gothic" w:hAnsi="Century Gothic"/>
                <w:sz w:val="18"/>
              </w:rPr>
            </w:pPr>
            <w:hyperlink r:id="rId7" w:history="1">
              <w:r w:rsidR="00FE2B50" w:rsidRPr="00F032E0">
                <w:rPr>
                  <w:rStyle w:val="Hipervnculo"/>
                  <w:rFonts w:ascii="Century Gothic" w:hAnsi="Century Gothic"/>
                  <w:sz w:val="18"/>
                </w:rPr>
                <w:t>http://seguropopular.saludtlax.gob.mx/index.php/metas</w:t>
              </w:r>
            </w:hyperlink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Se anexa documento de la Ficha de Cierre de Afiliación </w:t>
            </w:r>
            <w:proofErr w:type="gramStart"/>
            <w:r>
              <w:rPr>
                <w:rFonts w:ascii="Century Gothic" w:hAnsi="Century Gothic"/>
                <w:sz w:val="18"/>
              </w:rPr>
              <w:t>Diciembre</w:t>
            </w:r>
            <w:proofErr w:type="gramEnd"/>
            <w:r>
              <w:rPr>
                <w:rFonts w:ascii="Century Gothic" w:hAnsi="Century Gothic"/>
                <w:sz w:val="18"/>
              </w:rPr>
              <w:t xml:space="preserve"> 2016</w:t>
            </w:r>
          </w:p>
          <w:p w:rsidR="00FE2B50" w:rsidRDefault="009358FA" w:rsidP="004A08DD">
            <w:pPr>
              <w:jc w:val="both"/>
              <w:rPr>
                <w:rFonts w:ascii="Century Gothic" w:hAnsi="Century Gothic"/>
                <w:sz w:val="18"/>
              </w:rPr>
            </w:pPr>
            <w:hyperlink r:id="rId8" w:history="1">
              <w:r w:rsidR="00FE2B50" w:rsidRPr="00026B9B">
                <w:rPr>
                  <w:rStyle w:val="Hipervnculo"/>
                  <w:rFonts w:ascii="Century Gothic" w:hAnsi="Century Gothic"/>
                  <w:sz w:val="18"/>
                </w:rPr>
                <w:t>http://seguropopular.saludtlax.gob.mx/images/archivos_pdf/FICHA_AFILIACION_CIERRE_DICIEMBRE_2016.pdf</w:t>
              </w:r>
            </w:hyperlink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Se anexa documento de la Ficha de Afiliación </w:t>
            </w:r>
            <w:proofErr w:type="gramStart"/>
            <w:r>
              <w:rPr>
                <w:rFonts w:ascii="Century Gothic" w:hAnsi="Century Gothic"/>
                <w:sz w:val="18"/>
              </w:rPr>
              <w:t>Abril</w:t>
            </w:r>
            <w:proofErr w:type="gramEnd"/>
            <w:r>
              <w:rPr>
                <w:rFonts w:ascii="Century Gothic" w:hAnsi="Century Gothic"/>
                <w:sz w:val="18"/>
              </w:rPr>
              <w:t xml:space="preserve"> 2017.</w:t>
            </w:r>
          </w:p>
          <w:p w:rsidR="00FE2B50" w:rsidRDefault="009358FA" w:rsidP="004A08DD">
            <w:pPr>
              <w:jc w:val="both"/>
              <w:rPr>
                <w:rFonts w:ascii="Century Gothic" w:hAnsi="Century Gothic"/>
                <w:sz w:val="18"/>
              </w:rPr>
            </w:pPr>
            <w:hyperlink r:id="rId9" w:history="1">
              <w:r w:rsidR="00FE2B50" w:rsidRPr="00026B9B">
                <w:rPr>
                  <w:rStyle w:val="Hipervnculo"/>
                  <w:rFonts w:ascii="Century Gothic" w:hAnsi="Century Gothic"/>
                  <w:sz w:val="18"/>
                </w:rPr>
                <w:t>http://seguropopular.saludtlax.gob.mx/images/archivos_pdf/FICHAS_REAFILIACION/FICHAS_MAYO_2017.pdf</w:t>
              </w:r>
            </w:hyperlink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Pr="00CD54DE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2268" w:type="dxa"/>
          </w:tcPr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  ATENDIDO</w:t>
            </w:r>
          </w:p>
        </w:tc>
        <w:tc>
          <w:tcPr>
            <w:tcW w:w="2268" w:type="dxa"/>
          </w:tcPr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</w:t>
            </w: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E2B50" w:rsidRDefault="00FE2B50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      100</w:t>
            </w:r>
          </w:p>
        </w:tc>
      </w:tr>
      <w:tr w:rsidR="005C6386" w:rsidRPr="00CD54DE" w:rsidTr="009358FA">
        <w:trPr>
          <w:jc w:val="center"/>
        </w:trPr>
        <w:tc>
          <w:tcPr>
            <w:tcW w:w="2416" w:type="dxa"/>
          </w:tcPr>
          <w:p w:rsidR="005C6386" w:rsidRDefault="005C6386" w:rsidP="004C6091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Century Gothic" w:hAnsi="Century Gothic"/>
                <w:sz w:val="18"/>
              </w:rPr>
            </w:pPr>
            <w:r w:rsidRPr="004C6091">
              <w:rPr>
                <w:rFonts w:ascii="Century Gothic" w:hAnsi="Century Gothic"/>
                <w:b/>
                <w:sz w:val="18"/>
              </w:rPr>
              <w:t>Implementar una medición para la población atendida y no atendida</w:t>
            </w:r>
            <w:r>
              <w:rPr>
                <w:rFonts w:ascii="Century Gothic" w:hAnsi="Century Gothic"/>
                <w:sz w:val="18"/>
              </w:rPr>
              <w:t xml:space="preserve">. </w:t>
            </w:r>
          </w:p>
          <w:p w:rsidR="005C6386" w:rsidRDefault="005C6386" w:rsidP="004C6091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5C6386" w:rsidRDefault="005C6386" w:rsidP="004C6091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5C6386" w:rsidRDefault="005C6386" w:rsidP="004C6091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5C6386" w:rsidRPr="00BC7447" w:rsidRDefault="005C6386" w:rsidP="004C6091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Población potencial, objetivo y mecanismos de elección.</w:t>
            </w:r>
          </w:p>
        </w:tc>
        <w:tc>
          <w:tcPr>
            <w:tcW w:w="3397" w:type="dxa"/>
          </w:tcPr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4C6091">
              <w:rPr>
                <w:rFonts w:ascii="Century Gothic" w:hAnsi="Century Gothic"/>
                <w:b/>
                <w:sz w:val="18"/>
              </w:rPr>
              <w:lastRenderedPageBreak/>
              <w:t>Identificar a la población que cuente con más de un tipo de acceso a la seguridad social</w:t>
            </w:r>
            <w:r>
              <w:rPr>
                <w:rFonts w:ascii="Century Gothic" w:hAnsi="Century Gothic"/>
                <w:sz w:val="18"/>
              </w:rPr>
              <w:t xml:space="preserve"> en salud.</w:t>
            </w: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4C6091">
              <w:rPr>
                <w:rFonts w:ascii="Century Gothic" w:hAnsi="Century Gothic"/>
                <w:b/>
                <w:sz w:val="18"/>
              </w:rPr>
              <w:t>Ya identificados, llevar a cabo la depuración gradual del padrón de afiliados al SPSS</w:t>
            </w:r>
            <w:r>
              <w:rPr>
                <w:rFonts w:ascii="Century Gothic" w:hAnsi="Century Gothic"/>
                <w:sz w:val="18"/>
              </w:rPr>
              <w:t>, para así evitar el cruce de padrones entre Instituciones de la Seguridad Social en Salud.</w:t>
            </w:r>
          </w:p>
          <w:p w:rsidR="005C6386" w:rsidRPr="00CD54DE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260" w:type="dxa"/>
          </w:tcPr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4C6091">
              <w:rPr>
                <w:rFonts w:ascii="Century Gothic" w:hAnsi="Century Gothic"/>
                <w:b/>
                <w:sz w:val="18"/>
              </w:rPr>
              <w:lastRenderedPageBreak/>
              <w:t>Disminución gradualmente</w:t>
            </w:r>
            <w:r>
              <w:rPr>
                <w:rFonts w:ascii="Century Gothic" w:hAnsi="Century Gothic"/>
                <w:sz w:val="18"/>
              </w:rPr>
              <w:t xml:space="preserve"> del número de </w:t>
            </w:r>
            <w:r w:rsidRPr="004C6091">
              <w:rPr>
                <w:rFonts w:ascii="Century Gothic" w:hAnsi="Century Gothic"/>
                <w:b/>
                <w:sz w:val="18"/>
              </w:rPr>
              <w:t>registros colisionados</w:t>
            </w:r>
            <w:r>
              <w:rPr>
                <w:rFonts w:ascii="Century Gothic" w:hAnsi="Century Gothic"/>
                <w:sz w:val="18"/>
              </w:rPr>
              <w:t xml:space="preserve">, </w:t>
            </w:r>
            <w:r w:rsidRPr="004C6091">
              <w:rPr>
                <w:rFonts w:ascii="Century Gothic" w:hAnsi="Century Gothic"/>
                <w:b/>
                <w:sz w:val="18"/>
              </w:rPr>
              <w:t>para así</w:t>
            </w:r>
            <w:r>
              <w:rPr>
                <w:rFonts w:ascii="Century Gothic" w:hAnsi="Century Gothic"/>
                <w:sz w:val="18"/>
              </w:rPr>
              <w:t xml:space="preserve"> permitir a la entidad </w:t>
            </w:r>
            <w:r w:rsidRPr="004C6091">
              <w:rPr>
                <w:rFonts w:ascii="Century Gothic" w:hAnsi="Century Gothic"/>
                <w:b/>
                <w:sz w:val="18"/>
              </w:rPr>
              <w:t>contar con datos precisos y por ende una medición efectiva</w:t>
            </w:r>
            <w:r>
              <w:rPr>
                <w:rFonts w:ascii="Century Gothic" w:hAnsi="Century Gothic"/>
                <w:sz w:val="18"/>
              </w:rPr>
              <w:t xml:space="preserve"> de la población usuaria.</w:t>
            </w:r>
          </w:p>
          <w:p w:rsidR="005C6386" w:rsidRPr="00CD54DE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2552" w:type="dxa"/>
          </w:tcPr>
          <w:p w:rsidR="005C6386" w:rsidRDefault="005C6386" w:rsidP="004C6091">
            <w:pPr>
              <w:jc w:val="both"/>
              <w:rPr>
                <w:rFonts w:ascii="Century Gothic" w:hAnsi="Century Gothic"/>
                <w:sz w:val="18"/>
              </w:rPr>
            </w:pPr>
            <w:r w:rsidRPr="004C6091">
              <w:rPr>
                <w:rFonts w:ascii="Century Gothic" w:hAnsi="Century Gothic"/>
                <w:b/>
                <w:sz w:val="18"/>
              </w:rPr>
              <w:lastRenderedPageBreak/>
              <w:t>Anexan minuta de depuración de padrones</w:t>
            </w:r>
            <w:r>
              <w:rPr>
                <w:rFonts w:ascii="Century Gothic" w:hAnsi="Century Gothic"/>
                <w:sz w:val="18"/>
              </w:rPr>
              <w:t xml:space="preserve"> celebradas entre la Comisión Nacional de </w:t>
            </w:r>
            <w:proofErr w:type="gramStart"/>
            <w:r>
              <w:rPr>
                <w:rFonts w:ascii="Century Gothic" w:hAnsi="Century Gothic"/>
                <w:sz w:val="18"/>
              </w:rPr>
              <w:t>Protección  Social</w:t>
            </w:r>
            <w:proofErr w:type="gramEnd"/>
            <w:r>
              <w:rPr>
                <w:rFonts w:ascii="Century Gothic" w:hAnsi="Century Gothic"/>
                <w:sz w:val="18"/>
              </w:rPr>
              <w:t xml:space="preserve"> en Salud y el Régimen estatal </w:t>
            </w:r>
            <w:r>
              <w:rPr>
                <w:rFonts w:ascii="Century Gothic" w:hAnsi="Century Gothic"/>
                <w:sz w:val="18"/>
              </w:rPr>
              <w:lastRenderedPageBreak/>
              <w:t>de Protección Social  en Salud en Tlaxcala.</w:t>
            </w:r>
          </w:p>
          <w:p w:rsidR="005C6386" w:rsidRPr="00CD54DE" w:rsidRDefault="005C6386" w:rsidP="004C6091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2268" w:type="dxa"/>
          </w:tcPr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  ATENDIDO</w:t>
            </w:r>
          </w:p>
        </w:tc>
        <w:tc>
          <w:tcPr>
            <w:tcW w:w="2268" w:type="dxa"/>
          </w:tcPr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</w:t>
            </w:r>
          </w:p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A75686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      100</w:t>
            </w:r>
          </w:p>
        </w:tc>
      </w:tr>
      <w:tr w:rsidR="005C6386" w:rsidRPr="00CD54DE" w:rsidTr="009358FA">
        <w:trPr>
          <w:jc w:val="center"/>
        </w:trPr>
        <w:tc>
          <w:tcPr>
            <w:tcW w:w="2416" w:type="dxa"/>
            <w:vAlign w:val="center"/>
          </w:tcPr>
          <w:p w:rsidR="005C6386" w:rsidRPr="00BC7447" w:rsidRDefault="005C6386" w:rsidP="00144088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lastRenderedPageBreak/>
              <w:t>MIR y Programa Operativo Anual</w:t>
            </w:r>
          </w:p>
        </w:tc>
        <w:tc>
          <w:tcPr>
            <w:tcW w:w="3397" w:type="dxa"/>
          </w:tcPr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C24EFF">
              <w:rPr>
                <w:rFonts w:ascii="Century Gothic" w:hAnsi="Century Gothic"/>
                <w:b/>
                <w:sz w:val="18"/>
              </w:rPr>
              <w:t>Actualización de la MIR, con un enfoque de transversalidad, de manera conjunta con las áreas operativas del Organismo, con la finalidad de alinear</w:t>
            </w:r>
            <w:r>
              <w:rPr>
                <w:rFonts w:ascii="Century Gothic" w:hAnsi="Century Gothic"/>
                <w:sz w:val="18"/>
              </w:rPr>
              <w:t xml:space="preserve"> los macro procesos en congruencia con el programa presupuestario U005. </w:t>
            </w: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Tomando como referencia la propuesta por la Comisión Nacional de Protección Social en Salud, además de los anexos VII y VIII del Acuerdo de Coordinación para la Ejecución del Sistema de Protección Social en Salud.</w:t>
            </w:r>
          </w:p>
          <w:p w:rsidR="005C6386" w:rsidRPr="00CD54DE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260" w:type="dxa"/>
          </w:tcPr>
          <w:p w:rsidR="005C6386" w:rsidRDefault="005C6386" w:rsidP="004A08DD">
            <w:pPr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5C6386" w:rsidRPr="00CD54DE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144088">
              <w:rPr>
                <w:rFonts w:ascii="Century Gothic" w:hAnsi="Century Gothic"/>
                <w:b/>
                <w:sz w:val="18"/>
              </w:rPr>
              <w:t>Contar con una MIR simplificada</w:t>
            </w:r>
            <w:r>
              <w:rPr>
                <w:rFonts w:ascii="Century Gothic" w:hAnsi="Century Gothic"/>
                <w:sz w:val="18"/>
              </w:rPr>
              <w:t>, que mida de manera eficaz los impactos de los macro procesos, en el cumplimiento de las metas y objetivos institucionales, correctamente alineada al PND</w:t>
            </w:r>
          </w:p>
        </w:tc>
        <w:tc>
          <w:tcPr>
            <w:tcW w:w="2552" w:type="dxa"/>
          </w:tcPr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Default="005C6386" w:rsidP="00144088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Se verá reflejada hasta el anteproyecto de presupuesto 2018.</w:t>
            </w:r>
          </w:p>
          <w:p w:rsidR="005C6386" w:rsidRDefault="005C6386" w:rsidP="00144088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Default="005C6386" w:rsidP="00144088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Pr="00C24EFF" w:rsidRDefault="005C6386" w:rsidP="00144088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C24EFF">
              <w:rPr>
                <w:rFonts w:ascii="Century Gothic" w:hAnsi="Century Gothic"/>
                <w:b/>
                <w:sz w:val="18"/>
              </w:rPr>
              <w:t xml:space="preserve">Sería conveniente, trabajar con la MIR especifica </w:t>
            </w:r>
          </w:p>
        </w:tc>
        <w:tc>
          <w:tcPr>
            <w:tcW w:w="2268" w:type="dxa"/>
          </w:tcPr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Pr="00CD54DE" w:rsidRDefault="005C6386" w:rsidP="004D1D9B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</w:t>
            </w:r>
            <w:r w:rsidR="004D1D9B"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2268" w:type="dxa"/>
          </w:tcPr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Pr="00CD54DE" w:rsidRDefault="004D1D9B" w:rsidP="004A08DD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      100</w:t>
            </w:r>
          </w:p>
        </w:tc>
      </w:tr>
      <w:tr w:rsidR="004D1D9B" w:rsidRPr="00CD54DE" w:rsidTr="009358FA">
        <w:trPr>
          <w:jc w:val="center"/>
        </w:trPr>
        <w:tc>
          <w:tcPr>
            <w:tcW w:w="2416" w:type="dxa"/>
            <w:vAlign w:val="center"/>
          </w:tcPr>
          <w:p w:rsidR="004D1D9B" w:rsidRPr="00BC7447" w:rsidRDefault="004D1D9B" w:rsidP="00144088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Plan Anual de Trabajo.</w:t>
            </w:r>
          </w:p>
        </w:tc>
        <w:tc>
          <w:tcPr>
            <w:tcW w:w="3397" w:type="dxa"/>
          </w:tcPr>
          <w:p w:rsidR="004D1D9B" w:rsidRDefault="004D1D9B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4D1D9B" w:rsidRPr="00CD54DE" w:rsidRDefault="004D1D9B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C24EFF">
              <w:rPr>
                <w:rFonts w:ascii="Century Gothic" w:hAnsi="Century Gothic"/>
                <w:b/>
                <w:sz w:val="18"/>
              </w:rPr>
              <w:t>Depurar y actualizar actividades, simplificando procesos para la obtención de resultados</w:t>
            </w:r>
            <w:r>
              <w:rPr>
                <w:rFonts w:ascii="Century Gothic" w:hAnsi="Century Gothic"/>
                <w:sz w:val="18"/>
              </w:rPr>
              <w:t xml:space="preserve">, con base en los anexos II,IV,V,VII y VIII; y la MIR del </w:t>
            </w:r>
            <w:proofErr w:type="spellStart"/>
            <w:r>
              <w:rPr>
                <w:rFonts w:ascii="Century Gothic" w:hAnsi="Century Gothic"/>
                <w:sz w:val="18"/>
              </w:rPr>
              <w:t>Pp</w:t>
            </w:r>
            <w:proofErr w:type="spellEnd"/>
            <w:r>
              <w:rPr>
                <w:rFonts w:ascii="Century Gothic" w:hAnsi="Century Gothic"/>
                <w:sz w:val="18"/>
              </w:rPr>
              <w:t xml:space="preserve"> U005,considerando aspectos operativos más trascendentales que estén directamente relacionados con las metas y objetivos institucionales.</w:t>
            </w:r>
          </w:p>
        </w:tc>
        <w:tc>
          <w:tcPr>
            <w:tcW w:w="3260" w:type="dxa"/>
          </w:tcPr>
          <w:p w:rsidR="004D1D9B" w:rsidRDefault="004D1D9B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4D1D9B" w:rsidRPr="00CD54DE" w:rsidRDefault="004D1D9B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C24EFF">
              <w:rPr>
                <w:rFonts w:ascii="Century Gothic" w:hAnsi="Century Gothic"/>
                <w:b/>
                <w:sz w:val="18"/>
              </w:rPr>
              <w:t>Establecer un programa de trabajo, orientado a seguir el mismo eje que se establecerá en la MIR</w:t>
            </w:r>
            <w:r>
              <w:rPr>
                <w:rFonts w:ascii="Century Gothic" w:hAnsi="Century Gothic"/>
                <w:sz w:val="18"/>
              </w:rPr>
              <w:t xml:space="preserve">, que funcione para la retroalimentación y </w:t>
            </w:r>
            <w:r w:rsidRPr="00C24EFF">
              <w:rPr>
                <w:rFonts w:ascii="Century Gothic" w:hAnsi="Century Gothic"/>
                <w:b/>
                <w:sz w:val="18"/>
              </w:rPr>
              <w:t>detección de ASM del organismo.</w:t>
            </w:r>
          </w:p>
        </w:tc>
        <w:tc>
          <w:tcPr>
            <w:tcW w:w="2552" w:type="dxa"/>
          </w:tcPr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Verificar cumplimiento en octubre de 2017. </w:t>
            </w: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Pr="00CD54DE" w:rsidRDefault="004D1D9B" w:rsidP="004A08DD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Anexar el programa de trabajo</w:t>
            </w:r>
          </w:p>
        </w:tc>
        <w:tc>
          <w:tcPr>
            <w:tcW w:w="2268" w:type="dxa"/>
          </w:tcPr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Pr="00CD54DE" w:rsidRDefault="004D1D9B" w:rsidP="00A75686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ATENDIDO</w:t>
            </w:r>
          </w:p>
        </w:tc>
        <w:tc>
          <w:tcPr>
            <w:tcW w:w="2268" w:type="dxa"/>
          </w:tcPr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A75686">
            <w:pPr>
              <w:rPr>
                <w:rFonts w:ascii="Century Gothic" w:hAnsi="Century Gothic"/>
                <w:sz w:val="18"/>
              </w:rPr>
            </w:pPr>
          </w:p>
          <w:p w:rsidR="004D1D9B" w:rsidRPr="00CD54DE" w:rsidRDefault="004D1D9B" w:rsidP="00A75686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                 100</w:t>
            </w:r>
          </w:p>
        </w:tc>
      </w:tr>
      <w:tr w:rsidR="005C6386" w:rsidRPr="00CD54DE" w:rsidTr="009358FA">
        <w:trPr>
          <w:jc w:val="center"/>
        </w:trPr>
        <w:tc>
          <w:tcPr>
            <w:tcW w:w="2416" w:type="dxa"/>
            <w:vAlign w:val="center"/>
          </w:tcPr>
          <w:p w:rsidR="005C6386" w:rsidRPr="00BC7447" w:rsidRDefault="005C6386" w:rsidP="00144088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Información pública debidamente a la </w:t>
            </w:r>
            <w:r>
              <w:rPr>
                <w:rFonts w:ascii="Century Gothic" w:hAnsi="Century Gothic"/>
                <w:sz w:val="18"/>
              </w:rPr>
              <w:lastRenderedPageBreak/>
              <w:t>población en general.</w:t>
            </w:r>
          </w:p>
        </w:tc>
        <w:tc>
          <w:tcPr>
            <w:tcW w:w="3397" w:type="dxa"/>
          </w:tcPr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Pr="00CD54DE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  <w:r w:rsidRPr="006345A5">
              <w:rPr>
                <w:rFonts w:ascii="Century Gothic" w:hAnsi="Century Gothic"/>
                <w:b/>
                <w:sz w:val="18"/>
              </w:rPr>
              <w:t xml:space="preserve">El Seguro Popular Tlaxcala cuenta </w:t>
            </w:r>
            <w:r w:rsidRPr="006345A5">
              <w:rPr>
                <w:rFonts w:ascii="Century Gothic" w:hAnsi="Century Gothic"/>
                <w:b/>
                <w:sz w:val="18"/>
              </w:rPr>
              <w:lastRenderedPageBreak/>
              <w:t>con su página web</w:t>
            </w:r>
            <w:r>
              <w:rPr>
                <w:rFonts w:ascii="Century Gothic" w:hAnsi="Century Gothic"/>
                <w:sz w:val="18"/>
              </w:rPr>
              <w:t>, en donde se avisa de todas aquellas modificaciones de la información relacionada con la temática, también de los beneficios a los afiliados, ubicación de los módulos, estructura organizacional, evaluaciones, transparencia.</w:t>
            </w:r>
          </w:p>
        </w:tc>
        <w:tc>
          <w:tcPr>
            <w:tcW w:w="3260" w:type="dxa"/>
          </w:tcPr>
          <w:p w:rsidR="005C6386" w:rsidRDefault="005C6386" w:rsidP="004A08DD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5C6386" w:rsidRPr="006345A5" w:rsidRDefault="005C6386" w:rsidP="004A08DD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6345A5">
              <w:rPr>
                <w:rFonts w:ascii="Century Gothic" w:hAnsi="Century Gothic"/>
                <w:b/>
                <w:sz w:val="18"/>
              </w:rPr>
              <w:t xml:space="preserve">Orientar, informar a la población </w:t>
            </w:r>
            <w:r w:rsidRPr="006345A5">
              <w:rPr>
                <w:rFonts w:ascii="Century Gothic" w:hAnsi="Century Gothic"/>
                <w:b/>
                <w:sz w:val="18"/>
              </w:rPr>
              <w:lastRenderedPageBreak/>
              <w:t>del Estado de Tlaxcala de los servicios y beneficios de los afiliados así mismo el propósito y finalidad del Seguro Popular.</w:t>
            </w:r>
          </w:p>
        </w:tc>
        <w:tc>
          <w:tcPr>
            <w:tcW w:w="2552" w:type="dxa"/>
          </w:tcPr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Se anexa liga: </w:t>
            </w:r>
          </w:p>
          <w:p w:rsidR="005C6386" w:rsidRDefault="009358FA" w:rsidP="004A08DD">
            <w:pPr>
              <w:rPr>
                <w:rStyle w:val="Hipervnculo"/>
                <w:rFonts w:ascii="Century Gothic" w:hAnsi="Century Gothic"/>
                <w:sz w:val="18"/>
              </w:rPr>
            </w:pPr>
            <w:hyperlink r:id="rId10" w:history="1">
              <w:r w:rsidR="005C6386" w:rsidRPr="00F032E0">
                <w:rPr>
                  <w:rStyle w:val="Hipervnculo"/>
                  <w:rFonts w:ascii="Century Gothic" w:hAnsi="Century Gothic"/>
                  <w:sz w:val="18"/>
                </w:rPr>
                <w:t>http://www.seguropopular.saludtlax.gob.mx</w:t>
              </w:r>
            </w:hyperlink>
          </w:p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5C6386" w:rsidRPr="00CD54DE" w:rsidRDefault="005C6386" w:rsidP="00DB1A61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Accedimos a la liga, sin embargo </w:t>
            </w:r>
            <w:r w:rsidRPr="00DB1A61">
              <w:rPr>
                <w:rFonts w:ascii="Century Gothic" w:hAnsi="Century Gothic"/>
                <w:b/>
                <w:sz w:val="18"/>
              </w:rPr>
              <w:t xml:space="preserve">no se pudo </w:t>
            </w:r>
            <w:proofErr w:type="spellStart"/>
            <w:r w:rsidRPr="00DB1A61">
              <w:rPr>
                <w:rFonts w:ascii="Century Gothic" w:hAnsi="Century Gothic"/>
                <w:b/>
                <w:sz w:val="18"/>
              </w:rPr>
              <w:t>accesar</w:t>
            </w:r>
            <w:proofErr w:type="spellEnd"/>
            <w:r w:rsidRPr="00DB1A61">
              <w:rPr>
                <w:rFonts w:ascii="Century Gothic" w:hAnsi="Century Gothic"/>
                <w:b/>
                <w:sz w:val="18"/>
              </w:rPr>
              <w:t>,</w:t>
            </w:r>
            <w:r>
              <w:rPr>
                <w:rFonts w:ascii="Century Gothic" w:hAnsi="Century Gothic"/>
                <w:sz w:val="18"/>
              </w:rPr>
              <w:t xml:space="preserve"> verificar su servidor</w:t>
            </w:r>
          </w:p>
        </w:tc>
        <w:tc>
          <w:tcPr>
            <w:tcW w:w="2268" w:type="dxa"/>
          </w:tcPr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lastRenderedPageBreak/>
              <w:t xml:space="preserve">            ATENDIDO</w:t>
            </w:r>
          </w:p>
        </w:tc>
        <w:tc>
          <w:tcPr>
            <w:tcW w:w="2268" w:type="dxa"/>
          </w:tcPr>
          <w:p w:rsidR="005C6386" w:rsidRDefault="005C6386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</w:p>
          <w:p w:rsidR="004D1D9B" w:rsidRDefault="004D1D9B" w:rsidP="004A08DD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lastRenderedPageBreak/>
              <w:t xml:space="preserve">                100</w:t>
            </w:r>
          </w:p>
        </w:tc>
      </w:tr>
      <w:bookmarkEnd w:id="0"/>
    </w:tbl>
    <w:p w:rsidR="008E19F3" w:rsidRDefault="008E19F3" w:rsidP="008E19F3">
      <w:pPr>
        <w:pStyle w:val="Texto"/>
        <w:spacing w:line="252" w:lineRule="exact"/>
        <w:rPr>
          <w:szCs w:val="18"/>
        </w:rPr>
      </w:pPr>
    </w:p>
    <w:p w:rsidR="008E19F3" w:rsidRPr="001B1CEB" w:rsidRDefault="008E19F3" w:rsidP="008E19F3">
      <w:pPr>
        <w:pStyle w:val="Texto"/>
        <w:spacing w:line="14" w:lineRule="exact"/>
        <w:rPr>
          <w:szCs w:val="18"/>
        </w:rPr>
      </w:pPr>
    </w:p>
    <w:p w:rsidR="008E19F3" w:rsidRDefault="008E19F3" w:rsidP="008E19F3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Cs w:val="18"/>
          <w:lang w:eastAsia="es-MX"/>
        </w:rPr>
      </w:pPr>
    </w:p>
    <w:p w:rsidR="00E13738" w:rsidRPr="005815E5" w:rsidRDefault="00E13738" w:rsidP="00E13738">
      <w:pPr>
        <w:jc w:val="both"/>
        <w:rPr>
          <w:rFonts w:ascii="Century Gothic" w:hAnsi="Century Gothic" w:cs="Arial"/>
          <w:b/>
          <w:sz w:val="16"/>
          <w:szCs w:val="16"/>
        </w:rPr>
      </w:pPr>
      <w:r w:rsidRPr="005815E5">
        <w:rPr>
          <w:rFonts w:ascii="Century Gothic" w:hAnsi="Century Gothic" w:cs="Arial"/>
          <w:b/>
          <w:sz w:val="16"/>
          <w:szCs w:val="16"/>
        </w:rPr>
        <w:t xml:space="preserve">PÁGINA OFICIAL: </w:t>
      </w:r>
    </w:p>
    <w:p w:rsidR="00E13738" w:rsidRPr="005815E5" w:rsidRDefault="00E13738" w:rsidP="00E13738">
      <w:pPr>
        <w:jc w:val="both"/>
        <w:rPr>
          <w:rFonts w:ascii="Century Gothic" w:hAnsi="Century Gothic" w:cs="Arial"/>
          <w:sz w:val="16"/>
          <w:szCs w:val="16"/>
        </w:rPr>
      </w:pPr>
    </w:p>
    <w:p w:rsidR="00E13738" w:rsidRPr="00E13738" w:rsidRDefault="00E13738" w:rsidP="00E13738">
      <w:pPr>
        <w:pStyle w:val="Prrafodelista"/>
        <w:numPr>
          <w:ilvl w:val="0"/>
          <w:numId w:val="30"/>
        </w:numPr>
        <w:jc w:val="both"/>
        <w:rPr>
          <w:rFonts w:ascii="Century Gothic" w:hAnsi="Century Gothic" w:cs="Arial"/>
          <w:sz w:val="16"/>
          <w:szCs w:val="16"/>
        </w:rPr>
      </w:pPr>
      <w:r w:rsidRPr="005815E5">
        <w:rPr>
          <w:rFonts w:ascii="Century Gothic" w:hAnsi="Century Gothic" w:cs="Arial"/>
          <w:sz w:val="16"/>
          <w:szCs w:val="16"/>
        </w:rPr>
        <w:t>Definir una MIR a n</w:t>
      </w:r>
      <w:r>
        <w:rPr>
          <w:rFonts w:ascii="Century Gothic" w:hAnsi="Century Gothic" w:cs="Arial"/>
          <w:sz w:val="16"/>
          <w:szCs w:val="16"/>
        </w:rPr>
        <w:t xml:space="preserve">ivel estatal exclusiva de </w:t>
      </w:r>
      <w:r w:rsidRPr="00E13738">
        <w:rPr>
          <w:rFonts w:ascii="Helvetica" w:hAnsi="Helvetica"/>
          <w:color w:val="2C3E50"/>
          <w:sz w:val="18"/>
          <w:szCs w:val="18"/>
        </w:rPr>
        <w:t xml:space="preserve">Cuota Social y Aportación Solidaria Federal, Seguro Médico Siglo XXI </w:t>
      </w:r>
      <w:r w:rsidRPr="005815E5">
        <w:rPr>
          <w:rFonts w:ascii="Century Gothic" w:hAnsi="Century Gothic" w:cs="Arial"/>
          <w:sz w:val="16"/>
          <w:szCs w:val="16"/>
        </w:rPr>
        <w:t>2016</w:t>
      </w:r>
      <w:r w:rsidRPr="00E13738">
        <w:rPr>
          <w:rFonts w:ascii="Century Gothic" w:hAnsi="Century Gothic" w:cs="Arial"/>
          <w:sz w:val="16"/>
          <w:szCs w:val="16"/>
        </w:rPr>
        <w:t>, que coadyuve a robustecer el seguimiento y evaluación del Fondo.</w:t>
      </w:r>
    </w:p>
    <w:p w:rsidR="00E13738" w:rsidRPr="005815E5" w:rsidRDefault="00E13738" w:rsidP="00E13738">
      <w:pPr>
        <w:pStyle w:val="Prrafodelista"/>
        <w:jc w:val="both"/>
        <w:rPr>
          <w:rFonts w:ascii="Century Gothic" w:hAnsi="Century Gothic" w:cs="Arial"/>
          <w:sz w:val="16"/>
          <w:szCs w:val="16"/>
        </w:rPr>
      </w:pPr>
    </w:p>
    <w:p w:rsidR="00E13738" w:rsidRPr="005815E5" w:rsidRDefault="00E13738" w:rsidP="00E13738">
      <w:pPr>
        <w:pStyle w:val="Prrafodelista"/>
        <w:numPr>
          <w:ilvl w:val="0"/>
          <w:numId w:val="29"/>
        </w:numPr>
        <w:jc w:val="both"/>
        <w:rPr>
          <w:rFonts w:ascii="Century Gothic" w:hAnsi="Century Gothic" w:cs="Arial"/>
          <w:sz w:val="16"/>
          <w:szCs w:val="16"/>
        </w:rPr>
      </w:pPr>
      <w:r w:rsidRPr="005815E5">
        <w:rPr>
          <w:rFonts w:ascii="Century Gothic" w:hAnsi="Century Gothic" w:cs="Arial"/>
          <w:sz w:val="16"/>
          <w:szCs w:val="16"/>
        </w:rPr>
        <w:t xml:space="preserve">En cuanto a su página </w:t>
      </w:r>
      <w:r>
        <w:rPr>
          <w:rFonts w:ascii="Century Gothic" w:hAnsi="Century Gothic" w:cs="Arial"/>
          <w:sz w:val="16"/>
          <w:szCs w:val="16"/>
        </w:rPr>
        <w:t>oficial de la S</w:t>
      </w:r>
      <w:r w:rsidRPr="005815E5">
        <w:rPr>
          <w:rFonts w:ascii="Century Gothic" w:hAnsi="Century Gothic" w:cs="Arial"/>
          <w:sz w:val="16"/>
          <w:szCs w:val="16"/>
        </w:rPr>
        <w:t xml:space="preserve">ecretaría: </w:t>
      </w:r>
    </w:p>
    <w:p w:rsidR="00E13738" w:rsidRPr="005815E5" w:rsidRDefault="00E13738" w:rsidP="00E13738">
      <w:pPr>
        <w:pStyle w:val="Prrafodelista"/>
        <w:numPr>
          <w:ilvl w:val="1"/>
          <w:numId w:val="31"/>
        </w:numPr>
        <w:jc w:val="both"/>
        <w:rPr>
          <w:rFonts w:ascii="Century Gothic" w:hAnsi="Century Gothic" w:cs="Arial"/>
          <w:sz w:val="16"/>
          <w:szCs w:val="16"/>
        </w:rPr>
      </w:pPr>
      <w:r w:rsidRPr="005815E5">
        <w:rPr>
          <w:rFonts w:ascii="Century Gothic" w:hAnsi="Century Gothic" w:cs="Arial"/>
          <w:sz w:val="16"/>
          <w:szCs w:val="16"/>
        </w:rPr>
        <w:t>Matriz de Indicadores para Resultados (MIR 2016)</w:t>
      </w:r>
    </w:p>
    <w:p w:rsidR="00E13738" w:rsidRPr="005815E5" w:rsidRDefault="00E13738" w:rsidP="00E13738">
      <w:pPr>
        <w:pStyle w:val="Prrafodelista"/>
        <w:numPr>
          <w:ilvl w:val="1"/>
          <w:numId w:val="31"/>
        </w:numPr>
        <w:jc w:val="both"/>
        <w:rPr>
          <w:rFonts w:ascii="Century Gothic" w:hAnsi="Century Gothic" w:cs="Arial"/>
          <w:sz w:val="16"/>
          <w:szCs w:val="16"/>
        </w:rPr>
      </w:pPr>
      <w:r w:rsidRPr="005815E5">
        <w:rPr>
          <w:rFonts w:ascii="Century Gothic" w:hAnsi="Century Gothic" w:cs="Arial"/>
          <w:sz w:val="16"/>
          <w:szCs w:val="16"/>
        </w:rPr>
        <w:t>Reporte de Indicadores</w:t>
      </w:r>
    </w:p>
    <w:p w:rsidR="00E13738" w:rsidRPr="005815E5" w:rsidRDefault="00E13738" w:rsidP="00E13738">
      <w:pPr>
        <w:pStyle w:val="Prrafodelista"/>
        <w:numPr>
          <w:ilvl w:val="1"/>
          <w:numId w:val="31"/>
        </w:numPr>
        <w:jc w:val="both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Programa Anual d</w:t>
      </w:r>
      <w:r w:rsidRPr="005815E5">
        <w:rPr>
          <w:rFonts w:ascii="Century Gothic" w:hAnsi="Century Gothic" w:cs="Arial"/>
          <w:sz w:val="16"/>
          <w:szCs w:val="16"/>
        </w:rPr>
        <w:t>e Evaluación 2017 (Evaluando Ejercicio 2016)</w:t>
      </w:r>
    </w:p>
    <w:p w:rsidR="00E13738" w:rsidRDefault="00E13738" w:rsidP="00E13738">
      <w:pPr>
        <w:pStyle w:val="Prrafodelista"/>
        <w:numPr>
          <w:ilvl w:val="1"/>
          <w:numId w:val="31"/>
        </w:numPr>
        <w:jc w:val="both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Evaluación </w:t>
      </w:r>
      <w:proofErr w:type="gramStart"/>
      <w:r>
        <w:rPr>
          <w:rFonts w:ascii="Century Gothic" w:hAnsi="Century Gothic" w:cs="Arial"/>
          <w:sz w:val="16"/>
          <w:szCs w:val="16"/>
        </w:rPr>
        <w:t xml:space="preserve">de </w:t>
      </w:r>
      <w:r w:rsidRPr="005815E5">
        <w:rPr>
          <w:rFonts w:ascii="Century Gothic" w:hAnsi="Century Gothic" w:cs="Arial"/>
          <w:sz w:val="16"/>
          <w:szCs w:val="16"/>
        </w:rPr>
        <w:t xml:space="preserve"> </w:t>
      </w:r>
      <w:r w:rsidRPr="00E13738">
        <w:rPr>
          <w:rFonts w:ascii="Helvetica" w:hAnsi="Helvetica"/>
          <w:color w:val="2C3E50"/>
          <w:sz w:val="18"/>
          <w:szCs w:val="18"/>
        </w:rPr>
        <w:t>Cuota</w:t>
      </w:r>
      <w:proofErr w:type="gramEnd"/>
      <w:r w:rsidRPr="00E13738">
        <w:rPr>
          <w:rFonts w:ascii="Helvetica" w:hAnsi="Helvetica"/>
          <w:color w:val="2C3E50"/>
          <w:sz w:val="18"/>
          <w:szCs w:val="18"/>
        </w:rPr>
        <w:t xml:space="preserve"> Social y Aportación Solidaria Federal, Seguro Médico Siglo XXI</w:t>
      </w:r>
      <w:r>
        <w:rPr>
          <w:rFonts w:ascii="Helvetica" w:hAnsi="Helvetica"/>
          <w:color w:val="2C3E50"/>
          <w:sz w:val="18"/>
          <w:szCs w:val="18"/>
          <w:shd w:val="clear" w:color="auto" w:fill="ECF0F1"/>
        </w:rPr>
        <w:t xml:space="preserve"> </w:t>
      </w:r>
      <w:r w:rsidRPr="005815E5">
        <w:rPr>
          <w:rFonts w:ascii="Century Gothic" w:hAnsi="Century Gothic" w:cs="Arial"/>
          <w:sz w:val="16"/>
          <w:szCs w:val="16"/>
        </w:rPr>
        <w:t>2016</w:t>
      </w:r>
    </w:p>
    <w:p w:rsidR="00E13738" w:rsidRPr="005815E5" w:rsidRDefault="00E13738" w:rsidP="00E13738">
      <w:pPr>
        <w:pStyle w:val="Prrafodelista"/>
        <w:numPr>
          <w:ilvl w:val="1"/>
          <w:numId w:val="31"/>
        </w:numPr>
        <w:jc w:val="both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Ficha CONAC</w:t>
      </w:r>
    </w:p>
    <w:p w:rsidR="00E13738" w:rsidRPr="001B1CEB" w:rsidRDefault="00E13738" w:rsidP="008E19F3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Cs w:val="18"/>
          <w:lang w:eastAsia="es-MX"/>
        </w:rPr>
      </w:pPr>
    </w:p>
    <w:p w:rsidR="00FA5330" w:rsidRPr="001B1CEB" w:rsidRDefault="00FA5330">
      <w:pPr>
        <w:rPr>
          <w:rFonts w:ascii="Arial" w:hAnsi="Arial" w:cs="Arial"/>
          <w:sz w:val="18"/>
          <w:szCs w:val="18"/>
        </w:rPr>
      </w:pPr>
    </w:p>
    <w:sectPr w:rsidR="00FA5330" w:rsidRPr="001B1CEB" w:rsidSect="00FE2B50">
      <w:headerReference w:type="default" r:id="rId11"/>
      <w:pgSz w:w="20160" w:h="12240" w:orient="landscape" w:code="5"/>
      <w:pgMar w:top="1418" w:right="1235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42B" w:rsidRDefault="006F442B" w:rsidP="0003382F">
      <w:r>
        <w:separator/>
      </w:r>
    </w:p>
  </w:endnote>
  <w:endnote w:type="continuationSeparator" w:id="0">
    <w:p w:rsidR="006F442B" w:rsidRDefault="006F442B" w:rsidP="0003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42B" w:rsidRDefault="006F442B" w:rsidP="0003382F">
      <w:r>
        <w:separator/>
      </w:r>
    </w:p>
  </w:footnote>
  <w:footnote w:type="continuationSeparator" w:id="0">
    <w:p w:rsidR="006F442B" w:rsidRDefault="006F442B" w:rsidP="00033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82F" w:rsidRDefault="0003382F" w:rsidP="0003382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7137F5C1" wp14:editId="0ADBD830">
          <wp:simplePos x="0" y="0"/>
          <wp:positionH relativeFrom="column">
            <wp:posOffset>-3175</wp:posOffset>
          </wp:positionH>
          <wp:positionV relativeFrom="paragraph">
            <wp:posOffset>67945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2F0172A5" wp14:editId="6597E92C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382F" w:rsidRDefault="0003382F" w:rsidP="0003382F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3420"/>
    <w:multiLevelType w:val="multilevel"/>
    <w:tmpl w:val="CBC27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4D9155B"/>
    <w:multiLevelType w:val="hybridMultilevel"/>
    <w:tmpl w:val="048A6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2F04"/>
    <w:multiLevelType w:val="hybridMultilevel"/>
    <w:tmpl w:val="C8E6D3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BF56EF06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73B07"/>
    <w:multiLevelType w:val="hybridMultilevel"/>
    <w:tmpl w:val="F63286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02920"/>
    <w:multiLevelType w:val="hybridMultilevel"/>
    <w:tmpl w:val="633685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B7289"/>
    <w:multiLevelType w:val="hybridMultilevel"/>
    <w:tmpl w:val="765AF36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837A12"/>
    <w:multiLevelType w:val="hybridMultilevel"/>
    <w:tmpl w:val="8CF2A228"/>
    <w:lvl w:ilvl="0" w:tplc="080A000F">
      <w:start w:val="1"/>
      <w:numFmt w:val="decimal"/>
      <w:lvlText w:val="%1."/>
      <w:lvlJc w:val="left"/>
      <w:pPr>
        <w:ind w:left="97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7" w15:restartNumberingAfterBreak="0">
    <w:nsid w:val="27912F2D"/>
    <w:multiLevelType w:val="hybridMultilevel"/>
    <w:tmpl w:val="A3FEF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5A2234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95D02"/>
    <w:multiLevelType w:val="multilevel"/>
    <w:tmpl w:val="270AEDB8"/>
    <w:lvl w:ilvl="0">
      <w:start w:val="1"/>
      <w:numFmt w:val="decimal"/>
      <w:lvlText w:val="%1."/>
      <w:lvlJc w:val="left"/>
      <w:pPr>
        <w:ind w:left="1080" w:hanging="720"/>
      </w:pPr>
      <w:rPr>
        <w:rFonts w:asciiTheme="majorHAnsi" w:hAnsiTheme="majorHAnsi" w:cstheme="majorHAnsi" w:hint="default"/>
        <w:b w:val="0"/>
        <w:bCs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9ED307A"/>
    <w:multiLevelType w:val="hybridMultilevel"/>
    <w:tmpl w:val="EA2A134C"/>
    <w:lvl w:ilvl="0" w:tplc="080A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0" w15:restartNumberingAfterBreak="0">
    <w:nsid w:val="2AC91AF0"/>
    <w:multiLevelType w:val="hybridMultilevel"/>
    <w:tmpl w:val="468A67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E4088"/>
    <w:multiLevelType w:val="hybridMultilevel"/>
    <w:tmpl w:val="D1C89F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71814"/>
    <w:multiLevelType w:val="hybridMultilevel"/>
    <w:tmpl w:val="D220A2A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DB0C19"/>
    <w:multiLevelType w:val="hybridMultilevel"/>
    <w:tmpl w:val="0FAA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415D4"/>
    <w:multiLevelType w:val="hybridMultilevel"/>
    <w:tmpl w:val="1E3893BC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F2E"/>
    <w:multiLevelType w:val="hybridMultilevel"/>
    <w:tmpl w:val="255A7B86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478B5141"/>
    <w:multiLevelType w:val="hybridMultilevel"/>
    <w:tmpl w:val="7D12A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C3722"/>
    <w:multiLevelType w:val="hybridMultilevel"/>
    <w:tmpl w:val="8E221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7250E"/>
    <w:multiLevelType w:val="hybridMultilevel"/>
    <w:tmpl w:val="B38456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712AC6"/>
    <w:multiLevelType w:val="hybridMultilevel"/>
    <w:tmpl w:val="4A70F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77E21"/>
    <w:multiLevelType w:val="hybridMultilevel"/>
    <w:tmpl w:val="181402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37081"/>
    <w:multiLevelType w:val="hybridMultilevel"/>
    <w:tmpl w:val="DA267C8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4351D5"/>
    <w:multiLevelType w:val="multilevel"/>
    <w:tmpl w:val="9208C458"/>
    <w:lvl w:ilvl="0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83459E0"/>
    <w:multiLevelType w:val="hybridMultilevel"/>
    <w:tmpl w:val="E6723A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30273"/>
    <w:multiLevelType w:val="hybridMultilevel"/>
    <w:tmpl w:val="337221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F52BA"/>
    <w:multiLevelType w:val="hybridMultilevel"/>
    <w:tmpl w:val="EAD6D3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868B2"/>
    <w:multiLevelType w:val="hybridMultilevel"/>
    <w:tmpl w:val="7972AF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A127B1"/>
    <w:multiLevelType w:val="hybridMultilevel"/>
    <w:tmpl w:val="BC489EFE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E771C"/>
    <w:multiLevelType w:val="hybridMultilevel"/>
    <w:tmpl w:val="81483E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20E64"/>
    <w:multiLevelType w:val="hybridMultilevel"/>
    <w:tmpl w:val="CD6E75B0"/>
    <w:lvl w:ilvl="0" w:tplc="0C0A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3"/>
  </w:num>
  <w:num w:numId="4">
    <w:abstractNumId w:val="17"/>
  </w:num>
  <w:num w:numId="5">
    <w:abstractNumId w:val="1"/>
  </w:num>
  <w:num w:numId="6">
    <w:abstractNumId w:val="14"/>
  </w:num>
  <w:num w:numId="7">
    <w:abstractNumId w:val="21"/>
  </w:num>
  <w:num w:numId="8">
    <w:abstractNumId w:val="25"/>
  </w:num>
  <w:num w:numId="9">
    <w:abstractNumId w:val="29"/>
  </w:num>
  <w:num w:numId="10">
    <w:abstractNumId w:val="10"/>
  </w:num>
  <w:num w:numId="11">
    <w:abstractNumId w:val="30"/>
  </w:num>
  <w:num w:numId="12">
    <w:abstractNumId w:val="26"/>
  </w:num>
  <w:num w:numId="13">
    <w:abstractNumId w:val="20"/>
  </w:num>
  <w:num w:numId="14">
    <w:abstractNumId w:val="5"/>
  </w:num>
  <w:num w:numId="15">
    <w:abstractNumId w:val="16"/>
  </w:num>
  <w:num w:numId="16">
    <w:abstractNumId w:val="27"/>
  </w:num>
  <w:num w:numId="17">
    <w:abstractNumId w:val="7"/>
  </w:num>
  <w:num w:numId="18">
    <w:abstractNumId w:val="19"/>
  </w:num>
  <w:num w:numId="19">
    <w:abstractNumId w:val="9"/>
  </w:num>
  <w:num w:numId="20">
    <w:abstractNumId w:val="6"/>
  </w:num>
  <w:num w:numId="21">
    <w:abstractNumId w:val="8"/>
  </w:num>
  <w:num w:numId="22">
    <w:abstractNumId w:val="2"/>
  </w:num>
  <w:num w:numId="23">
    <w:abstractNumId w:val="18"/>
  </w:num>
  <w:num w:numId="24">
    <w:abstractNumId w:val="23"/>
  </w:num>
  <w:num w:numId="25">
    <w:abstractNumId w:val="15"/>
  </w:num>
  <w:num w:numId="26">
    <w:abstractNumId w:val="28"/>
  </w:num>
  <w:num w:numId="27">
    <w:abstractNumId w:val="13"/>
  </w:num>
  <w:num w:numId="28">
    <w:abstractNumId w:val="22"/>
  </w:num>
  <w:num w:numId="29">
    <w:abstractNumId w:val="12"/>
  </w:num>
  <w:num w:numId="30">
    <w:abstractNumId w:val="4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73A"/>
    <w:rsid w:val="00007AE6"/>
    <w:rsid w:val="00031F25"/>
    <w:rsid w:val="0003382F"/>
    <w:rsid w:val="000434EC"/>
    <w:rsid w:val="0005356A"/>
    <w:rsid w:val="00064DFF"/>
    <w:rsid w:val="000743C3"/>
    <w:rsid w:val="000D49D6"/>
    <w:rsid w:val="00127557"/>
    <w:rsid w:val="00144088"/>
    <w:rsid w:val="001701DA"/>
    <w:rsid w:val="001759FD"/>
    <w:rsid w:val="001B1CEB"/>
    <w:rsid w:val="001E26E3"/>
    <w:rsid w:val="00281FEA"/>
    <w:rsid w:val="002A2AB7"/>
    <w:rsid w:val="002D71AE"/>
    <w:rsid w:val="002E2DDB"/>
    <w:rsid w:val="002F1034"/>
    <w:rsid w:val="002F3DED"/>
    <w:rsid w:val="00316BDB"/>
    <w:rsid w:val="00333B20"/>
    <w:rsid w:val="00341035"/>
    <w:rsid w:val="00364ACF"/>
    <w:rsid w:val="00376A12"/>
    <w:rsid w:val="003D1A74"/>
    <w:rsid w:val="003E5272"/>
    <w:rsid w:val="003F5BBE"/>
    <w:rsid w:val="00433370"/>
    <w:rsid w:val="00437D2A"/>
    <w:rsid w:val="00441AB7"/>
    <w:rsid w:val="00444F74"/>
    <w:rsid w:val="004670A1"/>
    <w:rsid w:val="00482B9D"/>
    <w:rsid w:val="0048448B"/>
    <w:rsid w:val="004C1600"/>
    <w:rsid w:val="004C6091"/>
    <w:rsid w:val="004D1D9B"/>
    <w:rsid w:val="00506920"/>
    <w:rsid w:val="005307A8"/>
    <w:rsid w:val="0055429A"/>
    <w:rsid w:val="00557E57"/>
    <w:rsid w:val="005728CE"/>
    <w:rsid w:val="005865C7"/>
    <w:rsid w:val="005B0808"/>
    <w:rsid w:val="005B7D32"/>
    <w:rsid w:val="005C3F2A"/>
    <w:rsid w:val="005C6386"/>
    <w:rsid w:val="005F4454"/>
    <w:rsid w:val="005F7731"/>
    <w:rsid w:val="00627B2A"/>
    <w:rsid w:val="00630FC9"/>
    <w:rsid w:val="006345A5"/>
    <w:rsid w:val="006519DA"/>
    <w:rsid w:val="00662783"/>
    <w:rsid w:val="00662AD1"/>
    <w:rsid w:val="00692ADE"/>
    <w:rsid w:val="00697677"/>
    <w:rsid w:val="006B3B9C"/>
    <w:rsid w:val="006B7C93"/>
    <w:rsid w:val="006D21CD"/>
    <w:rsid w:val="006E51ED"/>
    <w:rsid w:val="006F442B"/>
    <w:rsid w:val="00754646"/>
    <w:rsid w:val="00762A87"/>
    <w:rsid w:val="007734AC"/>
    <w:rsid w:val="007A09FD"/>
    <w:rsid w:val="007A6053"/>
    <w:rsid w:val="007C335B"/>
    <w:rsid w:val="007D2547"/>
    <w:rsid w:val="00883A33"/>
    <w:rsid w:val="0089529D"/>
    <w:rsid w:val="008C2124"/>
    <w:rsid w:val="008E19F3"/>
    <w:rsid w:val="009358FA"/>
    <w:rsid w:val="00935975"/>
    <w:rsid w:val="009A03BB"/>
    <w:rsid w:val="00A030FD"/>
    <w:rsid w:val="00A32EEF"/>
    <w:rsid w:val="00A575FB"/>
    <w:rsid w:val="00A663E8"/>
    <w:rsid w:val="00A92AB2"/>
    <w:rsid w:val="00AA0C30"/>
    <w:rsid w:val="00AF350C"/>
    <w:rsid w:val="00B162DC"/>
    <w:rsid w:val="00B25390"/>
    <w:rsid w:val="00B3509D"/>
    <w:rsid w:val="00B532E3"/>
    <w:rsid w:val="00B66195"/>
    <w:rsid w:val="00B91F80"/>
    <w:rsid w:val="00BA44D1"/>
    <w:rsid w:val="00BA7CEF"/>
    <w:rsid w:val="00C0333C"/>
    <w:rsid w:val="00C14B4B"/>
    <w:rsid w:val="00C14F02"/>
    <w:rsid w:val="00C24EFF"/>
    <w:rsid w:val="00C37CC8"/>
    <w:rsid w:val="00C42B13"/>
    <w:rsid w:val="00C44C5D"/>
    <w:rsid w:val="00C47C24"/>
    <w:rsid w:val="00D15BE4"/>
    <w:rsid w:val="00D20674"/>
    <w:rsid w:val="00D24B71"/>
    <w:rsid w:val="00D74625"/>
    <w:rsid w:val="00DB1A61"/>
    <w:rsid w:val="00DD3F80"/>
    <w:rsid w:val="00E062E8"/>
    <w:rsid w:val="00E13738"/>
    <w:rsid w:val="00E27FB4"/>
    <w:rsid w:val="00E45DBF"/>
    <w:rsid w:val="00E75B0B"/>
    <w:rsid w:val="00E8180E"/>
    <w:rsid w:val="00E83EC7"/>
    <w:rsid w:val="00E97343"/>
    <w:rsid w:val="00EB281E"/>
    <w:rsid w:val="00F074B5"/>
    <w:rsid w:val="00F141D0"/>
    <w:rsid w:val="00F460F4"/>
    <w:rsid w:val="00F515C3"/>
    <w:rsid w:val="00F57564"/>
    <w:rsid w:val="00F97F9E"/>
    <w:rsid w:val="00FA5330"/>
    <w:rsid w:val="00FD2957"/>
    <w:rsid w:val="00FE2B50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D4F61B-2215-46FF-BACE-DAFBCEDE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33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6B7C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Encabezado">
    <w:name w:val="header"/>
    <w:basedOn w:val="Normal"/>
    <w:link w:val="Encabezado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0338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82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82F"/>
    <w:rPr>
      <w:rFonts w:ascii="Tahoma" w:eastAsia="Times New Roman" w:hAnsi="Tahoma" w:cs="Tahoma"/>
      <w:sz w:val="16"/>
      <w:szCs w:val="16"/>
      <w:lang w:val="es-ES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C33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376A12"/>
    <w:rPr>
      <w:rFonts w:asciiTheme="minorHAnsi" w:eastAsiaTheme="minorHAnsi" w:hAnsiTheme="minorHAnsi" w:cstheme="minorBidi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76A12"/>
    <w:rPr>
      <w:sz w:val="20"/>
      <w:szCs w:val="20"/>
    </w:rPr>
  </w:style>
  <w:style w:type="paragraph" w:styleId="Sinespaciado">
    <w:name w:val="No Spacing"/>
    <w:link w:val="SinespaciadoCar"/>
    <w:uiPriority w:val="1"/>
    <w:qFormat/>
    <w:rsid w:val="00376A12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76A12"/>
    <w:rPr>
      <w:rFonts w:eastAsiaTheme="minorEastAsia"/>
      <w:lang w:val="en-US" w:eastAsia="zh-CN"/>
    </w:rPr>
  </w:style>
  <w:style w:type="character" w:customStyle="1" w:styleId="PrrafodelistaCar">
    <w:name w:val="Párrafo de lista Car"/>
    <w:link w:val="Prrafodelista"/>
    <w:uiPriority w:val="34"/>
    <w:rsid w:val="00E45DBF"/>
  </w:style>
  <w:style w:type="table" w:styleId="Tablaconcuadrcula">
    <w:name w:val="Table Grid"/>
    <w:basedOn w:val="Tablanormal"/>
    <w:uiPriority w:val="59"/>
    <w:rsid w:val="00E45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pie">
    <w:name w:val="footnote reference"/>
    <w:basedOn w:val="Fuentedeprrafopredeter"/>
    <w:uiPriority w:val="99"/>
    <w:unhideWhenUsed/>
    <w:rsid w:val="008C212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F5B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3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guropopular.saludtlax.gob.mx/images/archivos_pdf/FICHA_AFILIACION_CIERRE_DICIEMBRE_2016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eguropopular.saludtlax.gob.mx/index.php/meta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eguropopular.saludtlax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guropopular.saludtlax.gob.mx/images/archivos_pdf/FICHAS_REAFILIACION/FICHAS_MAYO_2017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837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Morales</dc:creator>
  <cp:lastModifiedBy>Planeación</cp:lastModifiedBy>
  <cp:revision>26</cp:revision>
  <cp:lastPrinted>2018-04-11T23:07:00Z</cp:lastPrinted>
  <dcterms:created xsi:type="dcterms:W3CDTF">2017-03-15T23:36:00Z</dcterms:created>
  <dcterms:modified xsi:type="dcterms:W3CDTF">2018-04-11T23:21:00Z</dcterms:modified>
</cp:coreProperties>
</file>