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039" w:rsidRPr="00741F1A" w:rsidRDefault="00E67D56" w:rsidP="002C5039">
      <w:pPr>
        <w:pStyle w:val="Texto"/>
        <w:spacing w:line="252" w:lineRule="exact"/>
        <w:ind w:firstLine="0"/>
        <w:jc w:val="center"/>
        <w:rPr>
          <w:b/>
          <w:sz w:val="20"/>
        </w:rPr>
      </w:pPr>
      <w:r>
        <w:rPr>
          <w:b/>
          <w:sz w:val="20"/>
        </w:rPr>
        <w:t xml:space="preserve">Resultados de </w:t>
      </w:r>
      <w:r w:rsidR="002C5039" w:rsidRPr="00741F1A">
        <w:rPr>
          <w:b/>
          <w:sz w:val="20"/>
        </w:rPr>
        <w:t xml:space="preserve"> Evaluaciones</w:t>
      </w:r>
    </w:p>
    <w:p w:rsidR="00741F1A" w:rsidRDefault="002C5039" w:rsidP="002C5039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6"/>
          <w:lang w:eastAsia="es-MX"/>
        </w:rPr>
      </w:pPr>
      <w:r w:rsidRPr="00741F1A">
        <w:rPr>
          <w:b/>
          <w:color w:val="000000"/>
          <w:sz w:val="20"/>
          <w:szCs w:val="16"/>
          <w:lang w:eastAsia="es-MX"/>
        </w:rPr>
        <w:t>Evaluación Específica de</w:t>
      </w:r>
      <w:r w:rsidR="007850D0">
        <w:rPr>
          <w:b/>
          <w:color w:val="000000"/>
          <w:sz w:val="20"/>
          <w:szCs w:val="16"/>
          <w:lang w:eastAsia="es-MX"/>
        </w:rPr>
        <w:t>l</w:t>
      </w:r>
      <w:r w:rsidRPr="00741F1A">
        <w:rPr>
          <w:b/>
          <w:color w:val="000000"/>
          <w:sz w:val="20"/>
          <w:szCs w:val="16"/>
          <w:lang w:eastAsia="es-MX"/>
        </w:rPr>
        <w:t xml:space="preserve"> Desempeño Proyecto Estratégico de Seguridad Alimentaria </w:t>
      </w:r>
    </w:p>
    <w:p w:rsidR="002C5039" w:rsidRPr="00741F1A" w:rsidRDefault="002C5039" w:rsidP="002C5039">
      <w:pPr>
        <w:pStyle w:val="Texto"/>
        <w:spacing w:line="252" w:lineRule="exact"/>
        <w:ind w:firstLine="0"/>
        <w:jc w:val="center"/>
        <w:rPr>
          <w:b/>
          <w:sz w:val="22"/>
        </w:rPr>
      </w:pPr>
      <w:r w:rsidRPr="00741F1A">
        <w:rPr>
          <w:b/>
          <w:color w:val="000000"/>
          <w:sz w:val="20"/>
          <w:szCs w:val="16"/>
          <w:lang w:eastAsia="es-MX"/>
        </w:rPr>
        <w:t>(PESA) 2016</w:t>
      </w:r>
    </w:p>
    <w:p w:rsidR="002C5039" w:rsidRDefault="002C5039" w:rsidP="008E19F3">
      <w:pPr>
        <w:pStyle w:val="Texto"/>
        <w:spacing w:line="252" w:lineRule="exact"/>
        <w:ind w:firstLine="0"/>
        <w:jc w:val="center"/>
        <w:rPr>
          <w:b/>
        </w:rPr>
      </w:pPr>
    </w:p>
    <w:tbl>
      <w:tblPr>
        <w:tblW w:w="5020" w:type="pct"/>
        <w:jc w:val="center"/>
        <w:tblBorders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  <w:insideH w:val="dotted" w:sz="4" w:space="0" w:color="808080"/>
          <w:insideV w:val="dotted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3544"/>
        <w:gridCol w:w="3512"/>
        <w:gridCol w:w="3530"/>
        <w:gridCol w:w="2966"/>
        <w:gridCol w:w="1474"/>
        <w:gridCol w:w="1418"/>
      </w:tblGrid>
      <w:tr w:rsidR="00C0383B" w:rsidRPr="00DA5B6D" w:rsidTr="008B54B9">
        <w:trPr>
          <w:trHeight w:val="720"/>
          <w:tblHeader/>
          <w:jc w:val="center"/>
        </w:trPr>
        <w:tc>
          <w:tcPr>
            <w:tcW w:w="360" w:type="pct"/>
            <w:shd w:val="clear" w:color="000000" w:fill="203764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bookmarkStart w:id="0" w:name="_GoBack"/>
            <w:r w:rsidRPr="00DA5B6D"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P</w:t>
            </w: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arámetro</w:t>
            </w:r>
          </w:p>
        </w:tc>
        <w:tc>
          <w:tcPr>
            <w:tcW w:w="1000" w:type="pct"/>
            <w:shd w:val="clear" w:color="000000" w:fill="203764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 w:rsidRPr="00DA5B6D"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Áreas Susceptibles de Mejora (ASM)</w:t>
            </w:r>
          </w:p>
        </w:tc>
        <w:tc>
          <w:tcPr>
            <w:tcW w:w="991" w:type="pct"/>
            <w:shd w:val="clear" w:color="000000" w:fill="203764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 w:rsidRPr="00DA5B6D"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R</w:t>
            </w: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ecomendaciones</w:t>
            </w:r>
          </w:p>
        </w:tc>
        <w:tc>
          <w:tcPr>
            <w:tcW w:w="996" w:type="pct"/>
            <w:shd w:val="clear" w:color="000000" w:fill="203764"/>
            <w:vAlign w:val="center"/>
          </w:tcPr>
          <w:p w:rsidR="00C0383B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Seguimiento</w:t>
            </w:r>
          </w:p>
          <w:p w:rsidR="00C0383B" w:rsidRPr="00DA5B6D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</w:p>
        </w:tc>
        <w:tc>
          <w:tcPr>
            <w:tcW w:w="837" w:type="pct"/>
            <w:shd w:val="clear" w:color="000000" w:fill="203764"/>
            <w:vAlign w:val="center"/>
          </w:tcPr>
          <w:p w:rsidR="00C0383B" w:rsidRPr="00DA5B6D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Observaciones</w:t>
            </w:r>
          </w:p>
        </w:tc>
        <w:tc>
          <w:tcPr>
            <w:tcW w:w="416" w:type="pct"/>
            <w:shd w:val="clear" w:color="000000" w:fill="203764"/>
            <w:vAlign w:val="center"/>
          </w:tcPr>
          <w:p w:rsidR="00C0383B" w:rsidRPr="00DA5B6D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Mejora</w:t>
            </w:r>
          </w:p>
        </w:tc>
        <w:tc>
          <w:tcPr>
            <w:tcW w:w="400" w:type="pct"/>
            <w:shd w:val="clear" w:color="000000" w:fill="203764"/>
          </w:tcPr>
          <w:p w:rsidR="00C0383B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</w:p>
          <w:p w:rsidR="00C0383B" w:rsidRDefault="00C0383B" w:rsidP="00E67D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6"/>
              </w:rPr>
              <w:t>Avance</w:t>
            </w:r>
          </w:p>
        </w:tc>
      </w:tr>
      <w:tr w:rsidR="00C0383B" w:rsidRPr="00DA5B6D" w:rsidTr="008B54B9">
        <w:trPr>
          <w:trHeight w:val="1080"/>
          <w:jc w:val="center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MIR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La MIR fue diseñada a nivel institucional por lo que no se encuentran alineada de manera específica con el objetivo y las metas del PESA 2016</w:t>
            </w:r>
          </w:p>
        </w:tc>
        <w:tc>
          <w:tcPr>
            <w:tcW w:w="991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 xml:space="preserve">Elaborar una MIR específica para el Proyecto Estratégico de Seguridad Alimentaria. </w:t>
            </w:r>
          </w:p>
        </w:tc>
        <w:tc>
          <w:tcPr>
            <w:tcW w:w="996" w:type="pct"/>
          </w:tcPr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0006ED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>No cuentan con MIR 2016,  incorporarán una MIR específica del Componente del Proyecto de Seguridad Alimentaria para Zonas Rurales 2017.</w:t>
            </w:r>
          </w:p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837" w:type="pct"/>
            <w:vAlign w:val="center"/>
          </w:tcPr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Deberá estar listo para el anteproyecto 2018 y con esto lograr el cumplimiento y mejora del programa.</w:t>
            </w:r>
          </w:p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0383B" w:rsidRPr="00DA5B6D" w:rsidRDefault="00C0383B" w:rsidP="000006ED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Documentar</w:t>
            </w:r>
          </w:p>
        </w:tc>
        <w:tc>
          <w:tcPr>
            <w:tcW w:w="416" w:type="pct"/>
          </w:tcPr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ATENDIDO</w:t>
            </w:r>
          </w:p>
        </w:tc>
        <w:tc>
          <w:tcPr>
            <w:tcW w:w="400" w:type="pct"/>
          </w:tcPr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      100</w:t>
            </w:r>
          </w:p>
        </w:tc>
      </w:tr>
      <w:tr w:rsidR="00C0383B" w:rsidRPr="00DA5B6D" w:rsidTr="008B54B9">
        <w:trPr>
          <w:trHeight w:val="810"/>
          <w:jc w:val="center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Indicadores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 xml:space="preserve">Los indicadores no cuentan con línea base. Los indicadores están definidos en correspondencia con los objetivos del PESA. </w:t>
            </w:r>
          </w:p>
        </w:tc>
        <w:tc>
          <w:tcPr>
            <w:tcW w:w="991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Establecer indicadores a nivel de localidades, familias y áreas de intervención; así como sus respectivas líneas base.</w:t>
            </w:r>
          </w:p>
        </w:tc>
        <w:tc>
          <w:tcPr>
            <w:tcW w:w="996" w:type="pct"/>
          </w:tcPr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61BB7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>No cuentan con MIR 2016,  incorporarán una MIR específica del Componente del Proyecto de Seguridad Alimentaria para Zonas Rurales 2017.</w:t>
            </w:r>
          </w:p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837" w:type="pct"/>
            <w:vAlign w:val="center"/>
          </w:tcPr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Deberá estar listo para el anteproyecto 2018 y con esto lograr el cumplimiento y mejora del programa.</w:t>
            </w:r>
          </w:p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0383B" w:rsidRPr="00DA5B6D" w:rsidRDefault="00C0383B" w:rsidP="000006ED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Documentar</w:t>
            </w:r>
          </w:p>
        </w:tc>
        <w:tc>
          <w:tcPr>
            <w:tcW w:w="416" w:type="pct"/>
          </w:tcPr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ATENDIDO</w:t>
            </w:r>
          </w:p>
        </w:tc>
        <w:tc>
          <w:tcPr>
            <w:tcW w:w="400" w:type="pct"/>
          </w:tcPr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      100</w:t>
            </w:r>
          </w:p>
        </w:tc>
      </w:tr>
      <w:tr w:rsidR="00C0383B" w:rsidRPr="00DA5B6D" w:rsidTr="008B54B9">
        <w:trPr>
          <w:trHeight w:val="1890"/>
          <w:jc w:val="center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Análisis metas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 xml:space="preserve">Las metas definidas se ubican a nivel institucional y no a nivel de Programa, por lo cual no es posible valorar el logro de metas a través de la intervención del PESA. </w:t>
            </w:r>
          </w:p>
        </w:tc>
        <w:tc>
          <w:tcPr>
            <w:tcW w:w="991" w:type="pct"/>
            <w:shd w:val="clear" w:color="auto" w:fill="auto"/>
            <w:vAlign w:val="center"/>
            <w:hideMark/>
          </w:tcPr>
          <w:p w:rsidR="00C0383B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Elaborar una MIR específica para el Proyecto Estratégico de Seguridad Alimentaria, con indicadores y metas específicas. Utilizar la información de la población potencial en Tlaxcala para determinar las metas a nivel de cada localidad. Llevar a cabo una Evaluación de Impacto.</w:t>
            </w:r>
          </w:p>
        </w:tc>
        <w:tc>
          <w:tcPr>
            <w:tcW w:w="996" w:type="pct"/>
          </w:tcPr>
          <w:p w:rsidR="00C0383B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61BB7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>No cuentan con MIR 2016,  incorporarán una MIR específica del Componente del Proyecto de Seguridad Alimentaria para Zonas Rurales 2017.</w:t>
            </w:r>
          </w:p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837" w:type="pct"/>
            <w:vAlign w:val="center"/>
          </w:tcPr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Deberá estar listo para el anteproyecto 2018 y con esto lograr el cumplimiento y mejora del programa.</w:t>
            </w:r>
          </w:p>
          <w:p w:rsidR="00C0383B" w:rsidRDefault="00C0383B" w:rsidP="000006ED">
            <w:pPr>
              <w:jc w:val="both"/>
              <w:rPr>
                <w:rFonts w:ascii="Century Gothic" w:hAnsi="Century Gothic"/>
                <w:color w:val="000000"/>
                <w:sz w:val="16"/>
                <w:szCs w:val="14"/>
              </w:rPr>
            </w:pPr>
          </w:p>
          <w:p w:rsidR="00C0383B" w:rsidRPr="00DA5B6D" w:rsidRDefault="00C0383B" w:rsidP="000006ED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4"/>
              </w:rPr>
              <w:t>Documentar</w:t>
            </w:r>
          </w:p>
        </w:tc>
        <w:tc>
          <w:tcPr>
            <w:tcW w:w="416" w:type="pct"/>
          </w:tcPr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ATENDIDO</w:t>
            </w:r>
          </w:p>
        </w:tc>
        <w:tc>
          <w:tcPr>
            <w:tcW w:w="400" w:type="pct"/>
          </w:tcPr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  <w:p w:rsidR="00C0383B" w:rsidRPr="00DA5B6D" w:rsidRDefault="00C0383B" w:rsidP="00BC6A0C">
            <w:pPr>
              <w:rPr>
                <w:rFonts w:ascii="Century Gothic" w:hAnsi="Century Gothic" w:cs="Calibri"/>
                <w:color w:val="000000"/>
                <w:sz w:val="16"/>
              </w:rPr>
            </w:pPr>
            <w:r>
              <w:rPr>
                <w:rFonts w:ascii="Century Gothic" w:hAnsi="Century Gothic" w:cs="Calibri"/>
                <w:color w:val="000000"/>
                <w:sz w:val="16"/>
              </w:rPr>
              <w:t xml:space="preserve">             100</w:t>
            </w:r>
          </w:p>
        </w:tc>
      </w:tr>
      <w:tr w:rsidR="00C0383B" w:rsidRPr="00DA5B6D" w:rsidTr="008B54B9">
        <w:trPr>
          <w:trHeight w:val="510"/>
          <w:jc w:val="center"/>
        </w:trPr>
        <w:tc>
          <w:tcPr>
            <w:tcW w:w="360" w:type="pct"/>
            <w:shd w:val="clear" w:color="auto" w:fill="auto"/>
            <w:noWrap/>
            <w:vAlign w:val="center"/>
            <w:hideMark/>
          </w:tcPr>
          <w:p w:rsidR="00C0383B" w:rsidRPr="00DA5B6D" w:rsidRDefault="00C0383B" w:rsidP="00B61BB7">
            <w:pPr>
              <w:jc w:val="center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ASM</w:t>
            </w:r>
          </w:p>
        </w:tc>
        <w:tc>
          <w:tcPr>
            <w:tcW w:w="1000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No hay avances en los ASM de evaluaciones anteriores</w:t>
            </w:r>
          </w:p>
        </w:tc>
        <w:tc>
          <w:tcPr>
            <w:tcW w:w="991" w:type="pct"/>
            <w:shd w:val="clear" w:color="auto" w:fill="auto"/>
            <w:vAlign w:val="center"/>
            <w:hideMark/>
          </w:tcPr>
          <w:p w:rsidR="00C0383B" w:rsidRPr="00DA5B6D" w:rsidRDefault="00C0383B" w:rsidP="00AF0BE3">
            <w:pPr>
              <w:jc w:val="both"/>
              <w:rPr>
                <w:rFonts w:ascii="Century Gothic" w:hAnsi="Century Gothic" w:cs="Calibri"/>
                <w:color w:val="000000"/>
                <w:sz w:val="16"/>
              </w:rPr>
            </w:pPr>
            <w:r w:rsidRPr="00DA5B6D">
              <w:rPr>
                <w:rFonts w:ascii="Century Gothic" w:hAnsi="Century Gothic" w:cs="Calibri"/>
                <w:color w:val="000000"/>
                <w:sz w:val="16"/>
              </w:rPr>
              <w:t>Dar cumplimiento a los ASM comprometidos</w:t>
            </w:r>
          </w:p>
        </w:tc>
        <w:tc>
          <w:tcPr>
            <w:tcW w:w="996" w:type="pct"/>
          </w:tcPr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837" w:type="pct"/>
          </w:tcPr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416" w:type="pct"/>
          </w:tcPr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  <w:tc>
          <w:tcPr>
            <w:tcW w:w="400" w:type="pct"/>
          </w:tcPr>
          <w:p w:rsidR="00C0383B" w:rsidRPr="00DA5B6D" w:rsidRDefault="00C0383B" w:rsidP="00B61BB7">
            <w:pPr>
              <w:rPr>
                <w:rFonts w:ascii="Century Gothic" w:hAnsi="Century Gothic" w:cs="Calibri"/>
                <w:color w:val="000000"/>
                <w:sz w:val="16"/>
              </w:rPr>
            </w:pPr>
          </w:p>
        </w:tc>
      </w:tr>
      <w:bookmarkEnd w:id="0"/>
    </w:tbl>
    <w:p w:rsidR="00E67D56" w:rsidRDefault="00E67D56" w:rsidP="008E19F3">
      <w:pPr>
        <w:pStyle w:val="Texto"/>
        <w:spacing w:line="252" w:lineRule="exact"/>
        <w:ind w:firstLine="0"/>
        <w:jc w:val="center"/>
        <w:rPr>
          <w:b/>
        </w:rPr>
      </w:pPr>
    </w:p>
    <w:p w:rsidR="008E19F3" w:rsidRPr="00741F1A" w:rsidRDefault="008E19F3" w:rsidP="008E19F3">
      <w:pPr>
        <w:pStyle w:val="Texto"/>
        <w:spacing w:line="14" w:lineRule="exact"/>
        <w:rPr>
          <w:szCs w:val="18"/>
        </w:rPr>
      </w:pPr>
    </w:p>
    <w:p w:rsidR="00C51389" w:rsidRDefault="008B54B9">
      <w:pPr>
        <w:rPr>
          <w:rFonts w:ascii="Arial" w:hAnsi="Arial" w:cs="Arial"/>
          <w:sz w:val="18"/>
          <w:szCs w:val="18"/>
        </w:rPr>
      </w:pPr>
    </w:p>
    <w:p w:rsidR="000843FA" w:rsidRDefault="000843FA">
      <w:pPr>
        <w:rPr>
          <w:rFonts w:ascii="Arial" w:hAnsi="Arial" w:cs="Arial"/>
          <w:sz w:val="18"/>
          <w:szCs w:val="18"/>
        </w:rPr>
      </w:pPr>
    </w:p>
    <w:p w:rsidR="000843FA" w:rsidRDefault="000843FA">
      <w:pPr>
        <w:rPr>
          <w:rFonts w:ascii="Arial" w:hAnsi="Arial" w:cs="Arial"/>
          <w:sz w:val="18"/>
          <w:szCs w:val="18"/>
        </w:rPr>
      </w:pPr>
    </w:p>
    <w:p w:rsidR="000843FA" w:rsidRDefault="000843FA">
      <w:pPr>
        <w:rPr>
          <w:rFonts w:ascii="Arial" w:hAnsi="Arial" w:cs="Arial"/>
          <w:sz w:val="18"/>
          <w:szCs w:val="18"/>
        </w:rPr>
      </w:pPr>
    </w:p>
    <w:p w:rsidR="0027150F" w:rsidRDefault="0027150F">
      <w:pPr>
        <w:rPr>
          <w:rFonts w:ascii="Arial" w:hAnsi="Arial" w:cs="Arial"/>
          <w:sz w:val="18"/>
          <w:szCs w:val="18"/>
        </w:rPr>
      </w:pPr>
    </w:p>
    <w:p w:rsidR="0089306A" w:rsidRDefault="0089306A">
      <w:pPr>
        <w:rPr>
          <w:rFonts w:ascii="Arial" w:hAnsi="Arial" w:cs="Arial"/>
          <w:sz w:val="18"/>
          <w:szCs w:val="18"/>
        </w:rPr>
      </w:pPr>
    </w:p>
    <w:p w:rsidR="0011590A" w:rsidRDefault="0011590A" w:rsidP="0089306A">
      <w:pPr>
        <w:rPr>
          <w:rFonts w:ascii="Century Gothic" w:hAnsi="Century Gothic"/>
          <w:b/>
          <w:sz w:val="20"/>
        </w:rPr>
      </w:pPr>
    </w:p>
    <w:p w:rsidR="0089306A" w:rsidRPr="0074654A" w:rsidRDefault="0089306A" w:rsidP="0089306A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t>Página oficial de SEFOA</w:t>
      </w:r>
      <w:r w:rsidRPr="0074654A">
        <w:rPr>
          <w:rFonts w:ascii="Century Gothic" w:hAnsi="Century Gothic"/>
          <w:b/>
          <w:sz w:val="20"/>
        </w:rPr>
        <w:t>:</w:t>
      </w:r>
    </w:p>
    <w:p w:rsidR="0089306A" w:rsidRPr="0074654A" w:rsidRDefault="0089306A" w:rsidP="0089306A">
      <w:pPr>
        <w:rPr>
          <w:rFonts w:ascii="Century Gothic" w:hAnsi="Century Gothic"/>
          <w:b/>
          <w:sz w:val="20"/>
        </w:rPr>
      </w:pPr>
    </w:p>
    <w:p w:rsidR="0089306A" w:rsidRPr="0074654A" w:rsidRDefault="0089306A" w:rsidP="0089306A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Definir una MIR a </w:t>
      </w:r>
      <w:r>
        <w:rPr>
          <w:rFonts w:ascii="Century Gothic" w:hAnsi="Century Gothic"/>
          <w:sz w:val="20"/>
        </w:rPr>
        <w:t>nivel estatal exclusiva del PESA</w:t>
      </w:r>
      <w:r w:rsidRPr="0074654A">
        <w:rPr>
          <w:rFonts w:ascii="Century Gothic" w:hAnsi="Century Gothic"/>
          <w:sz w:val="20"/>
        </w:rPr>
        <w:t>, que coadyuve a robustecer el seguimiento y evaluación del Fondo.</w:t>
      </w:r>
    </w:p>
    <w:p w:rsidR="0089306A" w:rsidRPr="0074654A" w:rsidRDefault="0089306A" w:rsidP="0089306A">
      <w:pPr>
        <w:pStyle w:val="Prrafodelista"/>
        <w:jc w:val="both"/>
        <w:rPr>
          <w:rFonts w:ascii="Century Gothic" w:hAnsi="Century Gothic"/>
          <w:sz w:val="20"/>
        </w:rPr>
      </w:pPr>
    </w:p>
    <w:p w:rsidR="0089306A" w:rsidRPr="0074654A" w:rsidRDefault="0089306A" w:rsidP="0089306A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En cuanto a su página oficial de la Secretaría, no están publicados:</w:t>
      </w:r>
    </w:p>
    <w:p w:rsidR="0089306A" w:rsidRDefault="0089306A" w:rsidP="0089306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Reporte de Indicadores</w:t>
      </w:r>
    </w:p>
    <w:p w:rsidR="0089306A" w:rsidRPr="0074654A" w:rsidRDefault="0089306A" w:rsidP="0089306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Matriz de Indicadores para Resultados (MIR 2016)</w:t>
      </w:r>
    </w:p>
    <w:p w:rsidR="0089306A" w:rsidRPr="0074654A" w:rsidRDefault="0089306A" w:rsidP="0089306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No esta publicada su Ficha CONAC</w:t>
      </w:r>
    </w:p>
    <w:p w:rsidR="0089306A" w:rsidRDefault="0089306A" w:rsidP="0089306A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</w:rPr>
      </w:pPr>
    </w:p>
    <w:p w:rsidR="0089306A" w:rsidRPr="0074654A" w:rsidRDefault="0089306A" w:rsidP="0089306A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Se encuentra publicado el PAE 2017: </w:t>
      </w:r>
    </w:p>
    <w:p w:rsidR="0089306A" w:rsidRDefault="0089306A" w:rsidP="0089306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No está publicado </w:t>
      </w:r>
    </w:p>
    <w:p w:rsidR="0089306A" w:rsidRPr="0074654A" w:rsidRDefault="0089306A" w:rsidP="0089306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</w:p>
    <w:p w:rsidR="0089306A" w:rsidRPr="0074654A" w:rsidRDefault="0089306A" w:rsidP="0089306A">
      <w:pPr>
        <w:pStyle w:val="Prrafodelista"/>
        <w:numPr>
          <w:ilvl w:val="0"/>
          <w:numId w:val="15"/>
        </w:numPr>
        <w:spacing w:after="160" w:line="259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Se visualiza la evaluación PESA</w:t>
      </w:r>
      <w:r w:rsidRPr="0074654A">
        <w:rPr>
          <w:rFonts w:ascii="Century Gothic" w:hAnsi="Century Gothic"/>
          <w:sz w:val="20"/>
        </w:rPr>
        <w:t xml:space="preserve"> 2016:</w:t>
      </w:r>
    </w:p>
    <w:p w:rsidR="0089306A" w:rsidRPr="0074654A" w:rsidRDefault="0089306A" w:rsidP="0089306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 </w:t>
      </w:r>
      <w:r w:rsidRPr="0056783A">
        <w:rPr>
          <w:rFonts w:ascii="Century Gothic" w:hAnsi="Century Gothic"/>
          <w:sz w:val="20"/>
        </w:rPr>
        <w:t>http://sefoatlaxcala.gob.mx/evaluacion/2017/pcef_ef_16.pdf</w:t>
      </w:r>
    </w:p>
    <w:p w:rsidR="0089306A" w:rsidRPr="00E6340B" w:rsidRDefault="0089306A" w:rsidP="0089306A">
      <w:pPr>
        <w:pStyle w:val="Prrafodelista"/>
        <w:spacing w:after="160" w:line="259" w:lineRule="auto"/>
        <w:jc w:val="both"/>
        <w:rPr>
          <w:rFonts w:ascii="Century Gothic" w:hAnsi="Century Gothic"/>
          <w:sz w:val="16"/>
          <w:szCs w:val="16"/>
        </w:rPr>
      </w:pPr>
    </w:p>
    <w:p w:rsidR="0089306A" w:rsidRPr="00741F1A" w:rsidRDefault="0089306A">
      <w:pPr>
        <w:rPr>
          <w:rFonts w:ascii="Arial" w:hAnsi="Arial" w:cs="Arial"/>
          <w:sz w:val="18"/>
          <w:szCs w:val="18"/>
        </w:rPr>
      </w:pPr>
    </w:p>
    <w:sectPr w:rsidR="0089306A" w:rsidRPr="00741F1A" w:rsidSect="00C0383B">
      <w:headerReference w:type="default" r:id="rId7"/>
      <w:pgSz w:w="20160" w:h="12240" w:orient="landscape" w:code="5"/>
      <w:pgMar w:top="1323" w:right="1235" w:bottom="1701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4D2" w:rsidRDefault="008944D2" w:rsidP="002C5039">
      <w:r>
        <w:separator/>
      </w:r>
    </w:p>
  </w:endnote>
  <w:endnote w:type="continuationSeparator" w:id="0">
    <w:p w:rsidR="008944D2" w:rsidRDefault="008944D2" w:rsidP="002C5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4D2" w:rsidRDefault="008944D2" w:rsidP="002C5039">
      <w:r>
        <w:separator/>
      </w:r>
    </w:p>
  </w:footnote>
  <w:footnote w:type="continuationSeparator" w:id="0">
    <w:p w:rsidR="008944D2" w:rsidRDefault="008944D2" w:rsidP="002C5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5039" w:rsidRDefault="002C5039">
    <w:pPr>
      <w:pStyle w:val="Encabezado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5A1A57C9" wp14:editId="3FA68F37">
          <wp:simplePos x="0" y="0"/>
          <wp:positionH relativeFrom="column">
            <wp:posOffset>61496</wp:posOffset>
          </wp:positionH>
          <wp:positionV relativeFrom="paragraph">
            <wp:posOffset>169043</wp:posOffset>
          </wp:positionV>
          <wp:extent cx="1752600" cy="354330"/>
          <wp:effectExtent l="0" t="0" r="0" b="762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354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C5039" w:rsidRDefault="002C5039" w:rsidP="002C5039">
    <w:pPr>
      <w:pStyle w:val="Encabezado"/>
      <w:jc w:val="right"/>
    </w:pPr>
    <w:r>
      <w:rPr>
        <w:noProof/>
        <w:lang w:val="es-MX"/>
      </w:rPr>
      <w:drawing>
        <wp:inline distT="0" distB="0" distL="0" distR="0" wp14:anchorId="73D0F89C" wp14:editId="32DE6B63">
          <wp:extent cx="1752600" cy="367471"/>
          <wp:effectExtent l="0" t="0" r="0" b="0"/>
          <wp:docPr id="5" name="Imagen 5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4360" cy="3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6F63"/>
    <w:multiLevelType w:val="hybridMultilevel"/>
    <w:tmpl w:val="D76A7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3579"/>
    <w:multiLevelType w:val="hybridMultilevel"/>
    <w:tmpl w:val="2CA4F19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6D9"/>
    <w:multiLevelType w:val="hybridMultilevel"/>
    <w:tmpl w:val="5E9C00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2208C4"/>
    <w:multiLevelType w:val="hybridMultilevel"/>
    <w:tmpl w:val="0930C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C67E7"/>
    <w:multiLevelType w:val="hybridMultilevel"/>
    <w:tmpl w:val="9AA8C7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C4AD7"/>
    <w:multiLevelType w:val="multilevel"/>
    <w:tmpl w:val="C884E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500DD"/>
    <w:multiLevelType w:val="hybridMultilevel"/>
    <w:tmpl w:val="8CD40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4524A"/>
    <w:multiLevelType w:val="multilevel"/>
    <w:tmpl w:val="2AC2AE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58976492"/>
    <w:multiLevelType w:val="hybridMultilevel"/>
    <w:tmpl w:val="21228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D15C1"/>
    <w:multiLevelType w:val="multilevel"/>
    <w:tmpl w:val="71EAB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32F5191"/>
    <w:multiLevelType w:val="hybridMultilevel"/>
    <w:tmpl w:val="DE982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15292"/>
    <w:multiLevelType w:val="hybridMultilevel"/>
    <w:tmpl w:val="ED462A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5E0D42"/>
    <w:multiLevelType w:val="hybridMultilevel"/>
    <w:tmpl w:val="851C2CC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722C33"/>
    <w:multiLevelType w:val="hybridMultilevel"/>
    <w:tmpl w:val="53D0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15"/>
  </w:num>
  <w:num w:numId="5">
    <w:abstractNumId w:val="8"/>
  </w:num>
  <w:num w:numId="6">
    <w:abstractNumId w:val="2"/>
  </w:num>
  <w:num w:numId="7">
    <w:abstractNumId w:val="10"/>
  </w:num>
  <w:num w:numId="8">
    <w:abstractNumId w:val="5"/>
  </w:num>
  <w:num w:numId="9">
    <w:abstractNumId w:val="0"/>
  </w:num>
  <w:num w:numId="10">
    <w:abstractNumId w:val="11"/>
  </w:num>
  <w:num w:numId="11">
    <w:abstractNumId w:val="13"/>
  </w:num>
  <w:num w:numId="12">
    <w:abstractNumId w:val="1"/>
  </w:num>
  <w:num w:numId="13">
    <w:abstractNumId w:val="9"/>
  </w:num>
  <w:num w:numId="14">
    <w:abstractNumId w:val="4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006ED"/>
    <w:rsid w:val="00003F96"/>
    <w:rsid w:val="00010D72"/>
    <w:rsid w:val="00027E25"/>
    <w:rsid w:val="00064DFF"/>
    <w:rsid w:val="00067004"/>
    <w:rsid w:val="000763AA"/>
    <w:rsid w:val="000843FA"/>
    <w:rsid w:val="0008528C"/>
    <w:rsid w:val="00093E7A"/>
    <w:rsid w:val="000D7F96"/>
    <w:rsid w:val="0011590A"/>
    <w:rsid w:val="00122045"/>
    <w:rsid w:val="001759FD"/>
    <w:rsid w:val="001F0062"/>
    <w:rsid w:val="002017C5"/>
    <w:rsid w:val="00217BB6"/>
    <w:rsid w:val="00254792"/>
    <w:rsid w:val="0027150F"/>
    <w:rsid w:val="00281FE7"/>
    <w:rsid w:val="002A62EC"/>
    <w:rsid w:val="002C5039"/>
    <w:rsid w:val="002F3DED"/>
    <w:rsid w:val="003174C4"/>
    <w:rsid w:val="003305D8"/>
    <w:rsid w:val="003411BB"/>
    <w:rsid w:val="003734A4"/>
    <w:rsid w:val="00375196"/>
    <w:rsid w:val="003A5496"/>
    <w:rsid w:val="00427414"/>
    <w:rsid w:val="00437D2A"/>
    <w:rsid w:val="00441AB7"/>
    <w:rsid w:val="00453C42"/>
    <w:rsid w:val="004E24FF"/>
    <w:rsid w:val="004F0B72"/>
    <w:rsid w:val="00506920"/>
    <w:rsid w:val="005070A5"/>
    <w:rsid w:val="00540CF7"/>
    <w:rsid w:val="00545F61"/>
    <w:rsid w:val="005728CE"/>
    <w:rsid w:val="00621D39"/>
    <w:rsid w:val="00630FC9"/>
    <w:rsid w:val="00644B6A"/>
    <w:rsid w:val="00662783"/>
    <w:rsid w:val="00684A55"/>
    <w:rsid w:val="00684F09"/>
    <w:rsid w:val="006A2571"/>
    <w:rsid w:val="006F3236"/>
    <w:rsid w:val="00741F1A"/>
    <w:rsid w:val="00762C43"/>
    <w:rsid w:val="007743B9"/>
    <w:rsid w:val="007850D0"/>
    <w:rsid w:val="007B3F5C"/>
    <w:rsid w:val="008225B9"/>
    <w:rsid w:val="0089306A"/>
    <w:rsid w:val="008944D2"/>
    <w:rsid w:val="008B22B4"/>
    <w:rsid w:val="008B54B9"/>
    <w:rsid w:val="008C4A60"/>
    <w:rsid w:val="008E19F3"/>
    <w:rsid w:val="008E5424"/>
    <w:rsid w:val="008F4061"/>
    <w:rsid w:val="009124A4"/>
    <w:rsid w:val="00925315"/>
    <w:rsid w:val="00947B86"/>
    <w:rsid w:val="009C0477"/>
    <w:rsid w:val="009C78E2"/>
    <w:rsid w:val="00A327B1"/>
    <w:rsid w:val="00A663E8"/>
    <w:rsid w:val="00AA0C30"/>
    <w:rsid w:val="00AF0BE3"/>
    <w:rsid w:val="00B25390"/>
    <w:rsid w:val="00B66195"/>
    <w:rsid w:val="00BA44D1"/>
    <w:rsid w:val="00C0333C"/>
    <w:rsid w:val="00C0383B"/>
    <w:rsid w:val="00C21830"/>
    <w:rsid w:val="00C37CC8"/>
    <w:rsid w:val="00CA61D9"/>
    <w:rsid w:val="00CA7D64"/>
    <w:rsid w:val="00CC3281"/>
    <w:rsid w:val="00D15BE4"/>
    <w:rsid w:val="00D20233"/>
    <w:rsid w:val="00D2585B"/>
    <w:rsid w:val="00DC440B"/>
    <w:rsid w:val="00DD3F80"/>
    <w:rsid w:val="00DD44AA"/>
    <w:rsid w:val="00E233DE"/>
    <w:rsid w:val="00E26FD8"/>
    <w:rsid w:val="00E45297"/>
    <w:rsid w:val="00E67D56"/>
    <w:rsid w:val="00E75B0B"/>
    <w:rsid w:val="00E83EC7"/>
    <w:rsid w:val="00E97343"/>
    <w:rsid w:val="00F64EEF"/>
    <w:rsid w:val="00F67322"/>
    <w:rsid w:val="00F925F2"/>
    <w:rsid w:val="00FC5FC7"/>
    <w:rsid w:val="00FD5210"/>
    <w:rsid w:val="00FF43B1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E64DC-CE45-40E9-B28C-EA36F6C0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8E5424"/>
    <w:pPr>
      <w:ind w:left="720"/>
      <w:contextualSpacing/>
    </w:pPr>
    <w:rPr>
      <w:rFonts w:ascii="Times" w:eastAsia="Times" w:hAnsi="Times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8E5424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2C50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5039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50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5039"/>
    <w:rPr>
      <w:rFonts w:ascii="Tahoma" w:eastAsia="Times New Roman" w:hAnsi="Tahoma" w:cs="Tahoma"/>
      <w:sz w:val="16"/>
      <w:szCs w:val="16"/>
      <w:lang w:val="es-ES" w:eastAsia="es-MX"/>
    </w:rPr>
  </w:style>
  <w:style w:type="paragraph" w:customStyle="1" w:styleId="NoParagraphStyle">
    <w:name w:val="[No Paragraph Style]"/>
    <w:rsid w:val="00741F1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Textonotapie">
    <w:name w:val="footnote text"/>
    <w:basedOn w:val="Normal"/>
    <w:link w:val="TextonotapieCar"/>
    <w:unhideWhenUsed/>
    <w:rsid w:val="00741F1A"/>
    <w:pPr>
      <w:jc w:val="both"/>
    </w:pPr>
    <w:rPr>
      <w:rFonts w:ascii="Calibri" w:eastAsiaTheme="minorHAnsi" w:hAnsi="Calibri" w:cstheme="minorBidi"/>
      <w:color w:val="000000" w:themeColor="text1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rsid w:val="00741F1A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741F1A"/>
    <w:rPr>
      <w:rFonts w:ascii="Calibri" w:hAnsi="Calibri"/>
      <w:sz w:val="20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6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405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Planeación</cp:lastModifiedBy>
  <cp:revision>23</cp:revision>
  <cp:lastPrinted>2018-04-11T23:08:00Z</cp:lastPrinted>
  <dcterms:created xsi:type="dcterms:W3CDTF">2017-03-21T14:41:00Z</dcterms:created>
  <dcterms:modified xsi:type="dcterms:W3CDTF">2018-04-11T23:21:00Z</dcterms:modified>
</cp:coreProperties>
</file>