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55F" w:rsidRPr="0004674D" w:rsidRDefault="0043143C" w:rsidP="008E19F3">
      <w:pPr>
        <w:pStyle w:val="Texto"/>
        <w:spacing w:line="252" w:lineRule="exact"/>
        <w:ind w:firstLine="0"/>
        <w:jc w:val="center"/>
        <w:rPr>
          <w:b/>
          <w:color w:val="000000"/>
          <w:sz w:val="20"/>
          <w:szCs w:val="18"/>
          <w:lang w:eastAsia="es-MX"/>
        </w:rPr>
      </w:pPr>
      <w:r>
        <w:rPr>
          <w:b/>
          <w:sz w:val="20"/>
        </w:rPr>
        <w:t xml:space="preserve">Seguimiento </w:t>
      </w:r>
      <w:r w:rsidR="00A3655F" w:rsidRPr="0004674D">
        <w:rPr>
          <w:b/>
          <w:sz w:val="20"/>
        </w:rPr>
        <w:t xml:space="preserve"> de Evaluaciones</w:t>
      </w:r>
    </w:p>
    <w:p w:rsidR="00F80939" w:rsidRDefault="00F80939" w:rsidP="0043143C">
      <w:pPr>
        <w:pStyle w:val="Texto"/>
        <w:spacing w:after="0" w:line="252" w:lineRule="exact"/>
        <w:ind w:firstLine="0"/>
        <w:jc w:val="center"/>
        <w:rPr>
          <w:b/>
          <w:color w:val="000000"/>
          <w:sz w:val="20"/>
          <w:szCs w:val="18"/>
          <w:lang w:eastAsia="es-MX"/>
        </w:rPr>
      </w:pPr>
      <w:r w:rsidRPr="0004674D">
        <w:rPr>
          <w:b/>
          <w:color w:val="000000"/>
          <w:sz w:val="20"/>
          <w:szCs w:val="18"/>
          <w:lang w:eastAsia="es-MX"/>
        </w:rPr>
        <w:t>Evaluación Específica de</w:t>
      </w:r>
      <w:r w:rsidR="00AD73A4">
        <w:rPr>
          <w:b/>
          <w:color w:val="000000"/>
          <w:sz w:val="20"/>
          <w:szCs w:val="18"/>
          <w:lang w:eastAsia="es-MX"/>
        </w:rPr>
        <w:t>l</w:t>
      </w:r>
      <w:r w:rsidRPr="0004674D">
        <w:rPr>
          <w:b/>
          <w:color w:val="000000"/>
          <w:sz w:val="20"/>
          <w:szCs w:val="18"/>
          <w:lang w:eastAsia="es-MX"/>
        </w:rPr>
        <w:t xml:space="preserve"> Desempeño Programa de Concurrencia con las Entidades Federativas 2016</w:t>
      </w:r>
    </w:p>
    <w:p w:rsidR="0043143C" w:rsidRPr="0004674D" w:rsidRDefault="0043143C" w:rsidP="0043143C">
      <w:pPr>
        <w:pStyle w:val="Texto"/>
        <w:spacing w:after="0" w:line="252" w:lineRule="exact"/>
        <w:ind w:firstLine="0"/>
        <w:jc w:val="center"/>
        <w:rPr>
          <w:b/>
          <w:color w:val="000000"/>
          <w:sz w:val="20"/>
          <w:szCs w:val="18"/>
          <w:lang w:eastAsia="es-MX"/>
        </w:rPr>
      </w:pPr>
    </w:p>
    <w:p w:rsidR="000D70EE" w:rsidRPr="0004674D" w:rsidRDefault="000D70EE" w:rsidP="008E19F3">
      <w:pPr>
        <w:pStyle w:val="Texto"/>
        <w:spacing w:line="252" w:lineRule="exact"/>
        <w:ind w:firstLine="0"/>
        <w:jc w:val="center"/>
        <w:rPr>
          <w:b/>
          <w:szCs w:val="18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19"/>
        <w:gridCol w:w="5245"/>
        <w:gridCol w:w="3827"/>
        <w:gridCol w:w="2552"/>
        <w:gridCol w:w="1984"/>
      </w:tblGrid>
      <w:tr w:rsidR="00CB7BE6" w:rsidRPr="00121252" w:rsidTr="00805FDE">
        <w:trPr>
          <w:tblHeader/>
          <w:jc w:val="center"/>
        </w:trPr>
        <w:tc>
          <w:tcPr>
            <w:tcW w:w="4219" w:type="dxa"/>
            <w:shd w:val="clear" w:color="auto" w:fill="1F3864" w:themeFill="accent5" w:themeFillShade="80"/>
            <w:vAlign w:val="center"/>
          </w:tcPr>
          <w:p w:rsidR="00CB7BE6" w:rsidRPr="00121252" w:rsidRDefault="00CB7BE6" w:rsidP="002950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 w:rsidRPr="00121252">
              <w:rPr>
                <w:rFonts w:ascii="Century Gothic" w:hAnsi="Century Gothic"/>
                <w:b/>
                <w:color w:val="FFFFFF" w:themeColor="background1"/>
                <w:sz w:val="18"/>
              </w:rPr>
              <w:t xml:space="preserve">Parámetro: </w:t>
            </w:r>
            <w:r w:rsidRPr="00121252">
              <w:rPr>
                <w:rFonts w:ascii="Century Gothic" w:hAnsi="Century Gothic"/>
                <w:b/>
                <w:color w:val="FFFFFF" w:themeColor="background1"/>
                <w:sz w:val="18"/>
                <w:szCs w:val="18"/>
              </w:rPr>
              <w:t>Describir las recomendaciones de acuerdo a su relevancia:</w:t>
            </w:r>
          </w:p>
        </w:tc>
        <w:tc>
          <w:tcPr>
            <w:tcW w:w="5245" w:type="dxa"/>
            <w:shd w:val="clear" w:color="auto" w:fill="1F3864" w:themeFill="accent5" w:themeFillShade="80"/>
            <w:vAlign w:val="center"/>
          </w:tcPr>
          <w:p w:rsidR="00A142C6" w:rsidRDefault="00A142C6" w:rsidP="002950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</w:p>
          <w:p w:rsidR="00CB7BE6" w:rsidRPr="00121252" w:rsidRDefault="00CB7BE6" w:rsidP="002950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 w:rsidRPr="00121252">
              <w:rPr>
                <w:rFonts w:ascii="Century Gothic" w:hAnsi="Century Gothic"/>
                <w:b/>
                <w:color w:val="FFFFFF" w:themeColor="background1"/>
                <w:sz w:val="18"/>
              </w:rPr>
              <w:t>Seguimiento</w:t>
            </w:r>
          </w:p>
          <w:p w:rsidR="00CB7BE6" w:rsidRPr="00121252" w:rsidRDefault="00CB7BE6" w:rsidP="002950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</w:p>
        </w:tc>
        <w:tc>
          <w:tcPr>
            <w:tcW w:w="3827" w:type="dxa"/>
            <w:shd w:val="clear" w:color="auto" w:fill="1F3864" w:themeFill="accent5" w:themeFillShade="80"/>
            <w:vAlign w:val="center"/>
          </w:tcPr>
          <w:p w:rsidR="00CB7BE6" w:rsidRPr="00121252" w:rsidRDefault="00CB7BE6" w:rsidP="002950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 w:rsidRPr="00121252">
              <w:rPr>
                <w:rFonts w:ascii="Century Gothic" w:hAnsi="Century Gothic"/>
                <w:b/>
                <w:color w:val="FFFFFF" w:themeColor="background1"/>
                <w:sz w:val="18"/>
              </w:rPr>
              <w:t>Observaciones</w:t>
            </w:r>
          </w:p>
        </w:tc>
        <w:tc>
          <w:tcPr>
            <w:tcW w:w="2552" w:type="dxa"/>
            <w:shd w:val="clear" w:color="auto" w:fill="1F3864" w:themeFill="accent5" w:themeFillShade="80"/>
            <w:vAlign w:val="center"/>
          </w:tcPr>
          <w:p w:rsidR="00CB7BE6" w:rsidRPr="00121252" w:rsidRDefault="00CB7BE6" w:rsidP="002950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</w:rPr>
              <w:t>Mejora</w:t>
            </w:r>
          </w:p>
        </w:tc>
        <w:tc>
          <w:tcPr>
            <w:tcW w:w="1984" w:type="dxa"/>
            <w:shd w:val="clear" w:color="auto" w:fill="1F3864" w:themeFill="accent5" w:themeFillShade="80"/>
          </w:tcPr>
          <w:p w:rsidR="00CB7BE6" w:rsidRDefault="00CB7BE6" w:rsidP="002950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</w:p>
          <w:p w:rsidR="00CB7BE6" w:rsidRDefault="00CB7BE6" w:rsidP="002950A4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1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8"/>
              </w:rPr>
              <w:t xml:space="preserve">Avance </w:t>
            </w:r>
          </w:p>
        </w:tc>
      </w:tr>
      <w:tr w:rsidR="000C6934" w:rsidRPr="00121252" w:rsidTr="00805FDE">
        <w:trPr>
          <w:jc w:val="center"/>
        </w:trPr>
        <w:tc>
          <w:tcPr>
            <w:tcW w:w="4219" w:type="dxa"/>
          </w:tcPr>
          <w:p w:rsidR="000C6934" w:rsidRDefault="000C6934" w:rsidP="00B57778">
            <w:pPr>
              <w:jc w:val="both"/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</w:p>
          <w:p w:rsidR="000C6934" w:rsidRDefault="000C6934" w:rsidP="00B57778">
            <w:pPr>
              <w:jc w:val="both"/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  <w:r w:rsidRPr="00121252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>1: El Programa de Concurrencia con Entidades Federativas ha operado en la entidad desde 2014, por lo tanto cuenta con datos útiles para llevar a cabo una evaluación de impacto basada en la metodología de la Encuesta Panel como un ejercicio longitudinal para conocer la manera en la que evolucionaron las UP beneficiadas a partir de las inversiones estratégicas del Programa.</w:t>
            </w:r>
          </w:p>
          <w:p w:rsidR="000C6934" w:rsidRPr="00121252" w:rsidRDefault="000C6934" w:rsidP="00B57778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5245" w:type="dxa"/>
          </w:tcPr>
          <w:p w:rsidR="000C6934" w:rsidRDefault="000C6934" w:rsidP="00B57778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0C6934" w:rsidRPr="00121252" w:rsidRDefault="000C6934" w:rsidP="00B57778">
            <w:pPr>
              <w:jc w:val="both"/>
              <w:rPr>
                <w:rFonts w:ascii="Century Gothic" w:hAnsi="Century Gothic"/>
                <w:sz w:val="18"/>
              </w:rPr>
            </w:pPr>
            <w:r w:rsidRPr="00121252">
              <w:rPr>
                <w:rFonts w:ascii="Century Gothic" w:hAnsi="Century Gothic"/>
                <w:sz w:val="18"/>
              </w:rPr>
              <w:t xml:space="preserve">Se propone para el ejercicio 2017, la </w:t>
            </w:r>
            <w:r w:rsidRPr="007A0C93">
              <w:rPr>
                <w:rFonts w:ascii="Century Gothic" w:hAnsi="Century Gothic"/>
                <w:b/>
                <w:sz w:val="18"/>
              </w:rPr>
              <w:t>aplicación de una encuesta de satisfacción</w:t>
            </w:r>
            <w:r w:rsidRPr="00121252">
              <w:rPr>
                <w:rFonts w:ascii="Century Gothic" w:hAnsi="Century Gothic"/>
                <w:sz w:val="18"/>
              </w:rPr>
              <w:t xml:space="preserve"> del cliente </w:t>
            </w:r>
            <w:r w:rsidRPr="007A0C93">
              <w:rPr>
                <w:rFonts w:ascii="Century Gothic" w:hAnsi="Century Gothic"/>
                <w:b/>
                <w:sz w:val="18"/>
              </w:rPr>
              <w:t>al momento de la firma del acta de Finiquito del convenio específico de adhesión.</w:t>
            </w:r>
          </w:p>
        </w:tc>
        <w:tc>
          <w:tcPr>
            <w:tcW w:w="3827" w:type="dxa"/>
          </w:tcPr>
          <w:p w:rsidR="000C6934" w:rsidRDefault="000C6934" w:rsidP="007D062C">
            <w:pPr>
              <w:rPr>
                <w:rFonts w:ascii="Century Gothic" w:hAnsi="Century Gothic"/>
                <w:sz w:val="18"/>
              </w:rPr>
            </w:pPr>
          </w:p>
          <w:p w:rsidR="000C6934" w:rsidRDefault="000C6934" w:rsidP="007A0C93">
            <w:pPr>
              <w:jc w:val="both"/>
              <w:rPr>
                <w:rFonts w:ascii="Century Gothic" w:hAnsi="Century Gothic"/>
                <w:sz w:val="18"/>
              </w:rPr>
            </w:pPr>
            <w:r w:rsidRPr="007A0C93">
              <w:rPr>
                <w:rFonts w:ascii="Century Gothic" w:hAnsi="Century Gothic"/>
                <w:b/>
                <w:sz w:val="18"/>
              </w:rPr>
              <w:t>Documentar anexando la encuesta que aplicarán</w:t>
            </w:r>
            <w:r>
              <w:rPr>
                <w:rFonts w:ascii="Century Gothic" w:hAnsi="Century Gothic"/>
                <w:sz w:val="18"/>
              </w:rPr>
              <w:t xml:space="preserve"> para tenerlo de soporte y poderlo solventar.</w:t>
            </w:r>
          </w:p>
          <w:p w:rsidR="000C6934" w:rsidRDefault="000C6934" w:rsidP="007A0C93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0C6934" w:rsidRPr="00121252" w:rsidRDefault="000C6934" w:rsidP="00D22199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(Según oficio SEFOA D.O/160/2017, se propone la aplicación de una encuesta de satisfacción para el 2017, no se encontró la encuesta.)</w:t>
            </w:r>
          </w:p>
        </w:tc>
        <w:tc>
          <w:tcPr>
            <w:tcW w:w="2552" w:type="dxa"/>
          </w:tcPr>
          <w:p w:rsidR="000C6934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Pr="00D22199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Pr="00D22199" w:rsidRDefault="000C6934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ATENDIDO</w:t>
            </w:r>
          </w:p>
        </w:tc>
        <w:tc>
          <w:tcPr>
            <w:tcW w:w="1984" w:type="dxa"/>
          </w:tcPr>
          <w:p w:rsidR="000C6934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Pr="00D22199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Pr="00D22199" w:rsidRDefault="000C6934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100</w:t>
            </w:r>
          </w:p>
        </w:tc>
      </w:tr>
      <w:tr w:rsidR="00CB7BE6" w:rsidRPr="00121252" w:rsidTr="00805FDE">
        <w:trPr>
          <w:jc w:val="center"/>
        </w:trPr>
        <w:tc>
          <w:tcPr>
            <w:tcW w:w="4219" w:type="dxa"/>
          </w:tcPr>
          <w:p w:rsidR="00CB7BE6" w:rsidRDefault="00CB7BE6" w:rsidP="00AE4E69">
            <w:pPr>
              <w:jc w:val="both"/>
              <w:rPr>
                <w:rFonts w:ascii="Century Gothic" w:hAnsi="Century Gothic"/>
                <w:bCs/>
                <w:color w:val="000000"/>
                <w:sz w:val="18"/>
                <w:szCs w:val="18"/>
              </w:rPr>
            </w:pPr>
          </w:p>
          <w:p w:rsidR="00CB7BE6" w:rsidRPr="00121252" w:rsidRDefault="00CB7BE6" w:rsidP="00AE4E69">
            <w:pPr>
              <w:jc w:val="both"/>
              <w:rPr>
                <w:rFonts w:ascii="Century Gothic" w:hAnsi="Century Gothic"/>
                <w:sz w:val="18"/>
              </w:rPr>
            </w:pPr>
            <w:r w:rsidRPr="00121252">
              <w:rPr>
                <w:rFonts w:ascii="Century Gothic" w:hAnsi="Century Gothic"/>
                <w:bCs/>
                <w:color w:val="000000"/>
                <w:sz w:val="18"/>
                <w:szCs w:val="18"/>
              </w:rPr>
              <w:t xml:space="preserve">2: </w:t>
            </w:r>
            <w:r w:rsidRPr="007A0C9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</w:rPr>
              <w:t xml:space="preserve">Especificar </w:t>
            </w:r>
            <w:r w:rsidRPr="007A0C93">
              <w:rPr>
                <w:rFonts w:ascii="Century Gothic" w:hAnsi="Century Gothic"/>
                <w:b/>
                <w:color w:val="000000"/>
                <w:sz w:val="18"/>
                <w:szCs w:val="18"/>
              </w:rPr>
              <w:t>la línea base establecida para cada uno de los indicadores de la Matriz de Indicadores de Resultados</w:t>
            </w:r>
            <w:r w:rsidRPr="00121252">
              <w:rPr>
                <w:rFonts w:ascii="Century Gothic" w:hAnsi="Century Gothic"/>
                <w:color w:val="000000"/>
                <w:sz w:val="18"/>
                <w:szCs w:val="18"/>
              </w:rPr>
              <w:t xml:space="preserve"> del Programa para valorar su evolución en términos concretos.</w:t>
            </w:r>
          </w:p>
        </w:tc>
        <w:tc>
          <w:tcPr>
            <w:tcW w:w="5245" w:type="dxa"/>
          </w:tcPr>
          <w:p w:rsidR="00CB7BE6" w:rsidRDefault="00CB7BE6" w:rsidP="00AE4E69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CB7BE6" w:rsidRDefault="00CB7BE6" w:rsidP="00AE4E69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Se construyó la MIR de la SEFOA a partir del ejercicio 2014, misma con la que se sigue trabajando.</w:t>
            </w:r>
          </w:p>
          <w:p w:rsidR="00CB7BE6" w:rsidRDefault="00CB7BE6" w:rsidP="00AE4E69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CB7BE6" w:rsidRPr="007A0C93" w:rsidRDefault="00CB7BE6" w:rsidP="00AE4E69">
            <w:pPr>
              <w:jc w:val="both"/>
              <w:rPr>
                <w:rFonts w:ascii="Century Gothic" w:hAnsi="Century Gothic"/>
                <w:b/>
                <w:sz w:val="18"/>
              </w:rPr>
            </w:pPr>
            <w:r w:rsidRPr="007A0C93">
              <w:rPr>
                <w:rFonts w:ascii="Century Gothic" w:hAnsi="Century Gothic"/>
                <w:b/>
                <w:sz w:val="18"/>
              </w:rPr>
              <w:t>Se propone que al publicarse el Plan Estatal de Desarrollo 2017-2021 (PED),</w:t>
            </w:r>
            <w:r>
              <w:rPr>
                <w:rFonts w:ascii="Century Gothic" w:hAnsi="Century Gothic"/>
                <w:sz w:val="18"/>
              </w:rPr>
              <w:t xml:space="preserve"> </w:t>
            </w:r>
            <w:r w:rsidRPr="007A0C93">
              <w:rPr>
                <w:rFonts w:ascii="Century Gothic" w:hAnsi="Century Gothic"/>
                <w:b/>
                <w:sz w:val="18"/>
              </w:rPr>
              <w:t>se actualice una nueva MIR con enfoque a los objetivos de la nueva administración.</w:t>
            </w:r>
          </w:p>
          <w:p w:rsidR="00CB7BE6" w:rsidRDefault="00CB7BE6" w:rsidP="00AE4E69">
            <w:pPr>
              <w:jc w:val="both"/>
              <w:rPr>
                <w:rFonts w:ascii="Century Gothic" w:hAnsi="Century Gothic"/>
                <w:sz w:val="18"/>
              </w:rPr>
            </w:pPr>
            <w:bookmarkStart w:id="0" w:name="_GoBack"/>
            <w:bookmarkEnd w:id="0"/>
          </w:p>
          <w:p w:rsidR="00CB7BE6" w:rsidRPr="007A0C93" w:rsidRDefault="00CB7BE6" w:rsidP="00AE4E69">
            <w:pPr>
              <w:jc w:val="both"/>
              <w:rPr>
                <w:rFonts w:ascii="Century Gothic" w:hAnsi="Century Gothic"/>
                <w:b/>
                <w:sz w:val="18"/>
              </w:rPr>
            </w:pPr>
            <w:r w:rsidRPr="007A0C93">
              <w:rPr>
                <w:rFonts w:ascii="Century Gothic" w:hAnsi="Century Gothic"/>
                <w:b/>
                <w:sz w:val="18"/>
              </w:rPr>
              <w:t>Se propone se agregue un nuevo indicador en la MIR, que contemple acciones del concepto referido, ya que no se ve reflejado el concepto de proyectos estratégicos.</w:t>
            </w:r>
          </w:p>
          <w:p w:rsidR="00CB7BE6" w:rsidRDefault="00CB7BE6" w:rsidP="00AE4E69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CB7BE6" w:rsidRPr="00121252" w:rsidRDefault="00CB7BE6" w:rsidP="00AE4E69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3827" w:type="dxa"/>
          </w:tcPr>
          <w:p w:rsidR="00CB7BE6" w:rsidRDefault="00CB7BE6" w:rsidP="007D062C">
            <w:pPr>
              <w:rPr>
                <w:rFonts w:ascii="Century Gothic" w:hAnsi="Century Gothic"/>
                <w:sz w:val="18"/>
              </w:rPr>
            </w:pPr>
          </w:p>
          <w:p w:rsidR="00CB7BE6" w:rsidRPr="00B24304" w:rsidRDefault="00CB7BE6" w:rsidP="007A0C93">
            <w:pPr>
              <w:jc w:val="both"/>
              <w:rPr>
                <w:rFonts w:ascii="Century Gothic" w:hAnsi="Century Gothic"/>
                <w:b/>
                <w:sz w:val="18"/>
              </w:rPr>
            </w:pPr>
            <w:r w:rsidRPr="00B24304">
              <w:rPr>
                <w:rFonts w:ascii="Century Gothic" w:hAnsi="Century Gothic"/>
                <w:b/>
                <w:sz w:val="18"/>
              </w:rPr>
              <w:t>Revisar en su anteproyecto 2018, la modificación de la MIR, así como los indicadores.</w:t>
            </w:r>
          </w:p>
          <w:p w:rsidR="00CB7BE6" w:rsidRDefault="00CB7BE6" w:rsidP="007D062C">
            <w:pPr>
              <w:rPr>
                <w:rFonts w:ascii="Century Gothic" w:hAnsi="Century Gothic"/>
                <w:sz w:val="18"/>
              </w:rPr>
            </w:pPr>
          </w:p>
          <w:p w:rsidR="00CB7BE6" w:rsidRPr="00121252" w:rsidRDefault="00CB7BE6" w:rsidP="007D062C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Logrando avance para la evaluación en su ejercicio fiscal 2017.</w:t>
            </w:r>
          </w:p>
        </w:tc>
        <w:tc>
          <w:tcPr>
            <w:tcW w:w="2552" w:type="dxa"/>
          </w:tcPr>
          <w:p w:rsidR="00D22199" w:rsidRDefault="00D22199" w:rsidP="007D062C">
            <w:pPr>
              <w:rPr>
                <w:rFonts w:ascii="Century Gothic" w:hAnsi="Century Gothic"/>
                <w:sz w:val="18"/>
              </w:rPr>
            </w:pPr>
          </w:p>
          <w:p w:rsidR="00D22199" w:rsidRPr="00D22199" w:rsidRDefault="00D22199" w:rsidP="00D22199">
            <w:pPr>
              <w:rPr>
                <w:rFonts w:ascii="Century Gothic" w:hAnsi="Century Gothic"/>
                <w:sz w:val="18"/>
              </w:rPr>
            </w:pPr>
          </w:p>
          <w:p w:rsidR="00D22199" w:rsidRDefault="00D22199" w:rsidP="00D22199">
            <w:pPr>
              <w:rPr>
                <w:rFonts w:ascii="Century Gothic" w:hAnsi="Century Gothic"/>
                <w:sz w:val="18"/>
              </w:rPr>
            </w:pPr>
          </w:p>
          <w:p w:rsidR="00CB7BE6" w:rsidRPr="00D22199" w:rsidRDefault="00D22199" w:rsidP="00D22199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ATENDIDO</w:t>
            </w:r>
          </w:p>
        </w:tc>
        <w:tc>
          <w:tcPr>
            <w:tcW w:w="1984" w:type="dxa"/>
          </w:tcPr>
          <w:p w:rsidR="00D22199" w:rsidRDefault="00D22199" w:rsidP="007D062C">
            <w:pPr>
              <w:rPr>
                <w:rFonts w:ascii="Century Gothic" w:hAnsi="Century Gothic"/>
                <w:sz w:val="18"/>
              </w:rPr>
            </w:pPr>
          </w:p>
          <w:p w:rsidR="00D22199" w:rsidRPr="00D22199" w:rsidRDefault="00D22199" w:rsidP="00D22199">
            <w:pPr>
              <w:rPr>
                <w:rFonts w:ascii="Century Gothic" w:hAnsi="Century Gothic"/>
                <w:sz w:val="18"/>
              </w:rPr>
            </w:pPr>
          </w:p>
          <w:p w:rsidR="00D22199" w:rsidRDefault="00D22199" w:rsidP="00D22199">
            <w:pPr>
              <w:rPr>
                <w:rFonts w:ascii="Century Gothic" w:hAnsi="Century Gothic"/>
                <w:sz w:val="18"/>
              </w:rPr>
            </w:pPr>
          </w:p>
          <w:p w:rsidR="00CB7BE6" w:rsidRPr="00D22199" w:rsidRDefault="00D22199" w:rsidP="00D22199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100</w:t>
            </w:r>
          </w:p>
        </w:tc>
      </w:tr>
      <w:tr w:rsidR="00BC0086" w:rsidRPr="00121252" w:rsidTr="00805FDE">
        <w:trPr>
          <w:jc w:val="center"/>
        </w:trPr>
        <w:tc>
          <w:tcPr>
            <w:tcW w:w="4219" w:type="dxa"/>
          </w:tcPr>
          <w:p w:rsidR="00BC0086" w:rsidRDefault="00BC0086" w:rsidP="00AE4E69">
            <w:pPr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BC0086" w:rsidRPr="00121252" w:rsidRDefault="00BC0086" w:rsidP="00AE4E69">
            <w:pPr>
              <w:jc w:val="both"/>
              <w:rPr>
                <w:rFonts w:ascii="Century Gothic" w:hAnsi="Century Gothic"/>
                <w:sz w:val="18"/>
              </w:rPr>
            </w:pPr>
            <w:r w:rsidRPr="00121252">
              <w:rPr>
                <w:rFonts w:ascii="Century Gothic" w:hAnsi="Century Gothic"/>
                <w:color w:val="000000"/>
                <w:sz w:val="18"/>
                <w:szCs w:val="18"/>
              </w:rPr>
              <w:t>3:</w:t>
            </w:r>
            <w:r w:rsidRPr="00121252">
              <w:rPr>
                <w:rFonts w:ascii="Century Gothic" w:eastAsia="Times" w:hAnsi="Century Gothic"/>
                <w:sz w:val="18"/>
                <w:szCs w:val="18"/>
                <w:lang w:val="es-ES_tradnl"/>
              </w:rPr>
              <w:t xml:space="preserve"> </w:t>
            </w:r>
            <w:r w:rsidRPr="00B71989">
              <w:rPr>
                <w:rFonts w:ascii="Century Gothic" w:hAnsi="Century Gothic"/>
                <w:color w:val="000000"/>
                <w:sz w:val="18"/>
                <w:szCs w:val="18"/>
                <w:lang w:val="es-ES_tradnl"/>
              </w:rPr>
              <w:t xml:space="preserve">Documentar y evidenciar </w:t>
            </w:r>
            <w:r w:rsidRPr="00B71989">
              <w:rPr>
                <w:rFonts w:ascii="Century Gothic" w:hAnsi="Century Gothic"/>
                <w:b/>
                <w:color w:val="000000"/>
                <w:sz w:val="18"/>
                <w:szCs w:val="18"/>
                <w:lang w:val="es-ES_tradnl"/>
              </w:rPr>
              <w:t>el proceso de focalización para la entrega de apoyos.</w:t>
            </w:r>
          </w:p>
        </w:tc>
        <w:tc>
          <w:tcPr>
            <w:tcW w:w="5245" w:type="dxa"/>
          </w:tcPr>
          <w:p w:rsidR="00BC0086" w:rsidRDefault="00BC0086" w:rsidP="00AE4E69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Default="00BC0086" w:rsidP="00AE4E69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De acuerdo al </w:t>
            </w:r>
            <w:r w:rsidRPr="00B32EE2">
              <w:rPr>
                <w:rFonts w:ascii="Century Gothic" w:hAnsi="Century Gothic"/>
                <w:b/>
                <w:sz w:val="18"/>
              </w:rPr>
              <w:t>capítulo VIII, Sección I, Artículo 328, Fracción II. Dictamen de proyectos en el FOFAE</w:t>
            </w:r>
            <w:r>
              <w:rPr>
                <w:rFonts w:ascii="Century Gothic" w:hAnsi="Century Gothic"/>
                <w:sz w:val="18"/>
              </w:rPr>
              <w:t>, se utilizarán 4 criterios básicos, y un índice de impacto social.</w:t>
            </w:r>
          </w:p>
          <w:p w:rsidR="00BC0086" w:rsidRDefault="00BC0086" w:rsidP="00AE4E69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Default="00BC0086" w:rsidP="00AE4E69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Default="00BC0086" w:rsidP="00AE4E69">
            <w:pPr>
              <w:jc w:val="both"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Los porcentajes y los puntos a alcanzar para cada uno de los cuatro criterios base de calificación, </w:t>
            </w:r>
            <w:r w:rsidRPr="00B32EE2">
              <w:rPr>
                <w:rFonts w:ascii="Century Gothic" w:hAnsi="Century Gothic"/>
                <w:b/>
                <w:sz w:val="18"/>
              </w:rPr>
              <w:t>se determinarán de acuerdo a las prioridades y características regionales para el desarrollo e impulso del sector en la Entidad Federativa que corresponda, y adicionar a éstos, el índice de CONAPO</w:t>
            </w:r>
            <w:r>
              <w:rPr>
                <w:rFonts w:ascii="Century Gothic" w:hAnsi="Century Gothic"/>
                <w:sz w:val="18"/>
              </w:rPr>
              <w:t xml:space="preserve">, </w:t>
            </w:r>
            <w:r w:rsidRPr="00B32EE2">
              <w:rPr>
                <w:rFonts w:ascii="Century Gothic" w:hAnsi="Century Gothic"/>
                <w:b/>
                <w:sz w:val="18"/>
              </w:rPr>
              <w:t>mediante acuerdo del FOFAE, previamente validado por el Consejo Estatal de Desarrollo Rural Sustentable en su primer sesión.</w:t>
            </w:r>
          </w:p>
          <w:p w:rsidR="00BC0086" w:rsidRPr="00B32EE2" w:rsidRDefault="00BC0086" w:rsidP="00AE4E69">
            <w:pPr>
              <w:jc w:val="both"/>
              <w:rPr>
                <w:rFonts w:ascii="Century Gothic" w:hAnsi="Century Gothic"/>
                <w:b/>
                <w:sz w:val="18"/>
              </w:rPr>
            </w:pPr>
          </w:p>
          <w:p w:rsidR="00BC0086" w:rsidRDefault="00BC0086" w:rsidP="00AE4E69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III. Los criterios de calificación y el índice de CONAPO, serán distribuidos sobre una base del 100%, en la suma total de todos ellos para  todos los proyectos productivos o estratégicos:</w:t>
            </w:r>
          </w:p>
          <w:p w:rsidR="00BC0086" w:rsidRDefault="00BC0086" w:rsidP="00AE4E6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Incremento de la producción</w:t>
            </w:r>
          </w:p>
          <w:p w:rsidR="00BC0086" w:rsidRDefault="00BC0086" w:rsidP="00AE4E6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Valor agregado a la producción</w:t>
            </w:r>
          </w:p>
          <w:p w:rsidR="00BC0086" w:rsidRDefault="00BC0086" w:rsidP="00AE4E6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Mayor número de empleos directos</w:t>
            </w:r>
          </w:p>
          <w:p w:rsidR="00BC0086" w:rsidRDefault="00BC0086" w:rsidP="00AE4E6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Mayor número de beneficiarios directos</w:t>
            </w:r>
          </w:p>
          <w:p w:rsidR="00BC0086" w:rsidRDefault="00BC0086" w:rsidP="00AE4E69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Índice de CONAPO (Grado de marginación)</w:t>
            </w:r>
          </w:p>
          <w:p w:rsidR="00BC0086" w:rsidRDefault="00BC0086" w:rsidP="00AE4E69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Pr="00B32EE2" w:rsidRDefault="00BC0086" w:rsidP="00AE4E69">
            <w:pPr>
              <w:jc w:val="both"/>
              <w:rPr>
                <w:rFonts w:ascii="Century Gothic" w:hAnsi="Century Gothic"/>
                <w:b/>
                <w:sz w:val="18"/>
              </w:rPr>
            </w:pPr>
            <w:r w:rsidRPr="00B32EE2">
              <w:rPr>
                <w:rFonts w:ascii="Century Gothic" w:hAnsi="Century Gothic"/>
                <w:b/>
                <w:sz w:val="18"/>
              </w:rPr>
              <w:t>Existe un banco de información, se encuentra resguardada bajo el amparo de la “Ley de protección de datos personales del Estado de Tlaxcala”.</w:t>
            </w:r>
          </w:p>
          <w:p w:rsidR="00BC0086" w:rsidRPr="00D6224C" w:rsidRDefault="00BC0086" w:rsidP="00AE4E69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3827" w:type="dxa"/>
          </w:tcPr>
          <w:p w:rsidR="00BC0086" w:rsidRDefault="00BC0086" w:rsidP="007D062C">
            <w:pPr>
              <w:rPr>
                <w:rFonts w:ascii="Century Gothic" w:hAnsi="Century Gothic"/>
                <w:sz w:val="18"/>
              </w:rPr>
            </w:pPr>
          </w:p>
          <w:p w:rsidR="00BC0086" w:rsidRDefault="00BC0086" w:rsidP="007D062C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Documentar para poder solventar.</w:t>
            </w:r>
          </w:p>
          <w:p w:rsidR="00BC0086" w:rsidRDefault="00BC0086" w:rsidP="007D062C">
            <w:pPr>
              <w:rPr>
                <w:rFonts w:ascii="Century Gothic" w:hAnsi="Century Gothic"/>
                <w:sz w:val="18"/>
              </w:rPr>
            </w:pPr>
          </w:p>
          <w:p w:rsidR="00BC0086" w:rsidRDefault="00BC0086" w:rsidP="007D062C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(Según oficio SEFOA D.O/160/2017, se ya se solvento, pero no se encontró las </w:t>
            </w:r>
            <w:r>
              <w:rPr>
                <w:rFonts w:ascii="Century Gothic" w:hAnsi="Century Gothic"/>
                <w:sz w:val="18"/>
              </w:rPr>
              <w:lastRenderedPageBreak/>
              <w:t>evidencias.)</w:t>
            </w:r>
          </w:p>
          <w:p w:rsidR="00BC0086" w:rsidRDefault="00BC0086" w:rsidP="007D062C">
            <w:pPr>
              <w:rPr>
                <w:rFonts w:ascii="Century Gothic" w:hAnsi="Century Gothic"/>
                <w:sz w:val="18"/>
              </w:rPr>
            </w:pPr>
          </w:p>
          <w:p w:rsidR="00BC0086" w:rsidRPr="00121252" w:rsidRDefault="00BC0086" w:rsidP="007D062C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2552" w:type="dxa"/>
          </w:tcPr>
          <w:p w:rsidR="00BC0086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Pr="00D22199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Pr="00D22199" w:rsidRDefault="00BC0086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ATENDIDO</w:t>
            </w:r>
          </w:p>
        </w:tc>
        <w:tc>
          <w:tcPr>
            <w:tcW w:w="1984" w:type="dxa"/>
          </w:tcPr>
          <w:p w:rsidR="00BC0086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Pr="00D22199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Pr="00D22199" w:rsidRDefault="00BC0086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100</w:t>
            </w:r>
          </w:p>
        </w:tc>
      </w:tr>
      <w:tr w:rsidR="00BC0086" w:rsidRPr="00121252" w:rsidTr="00805FDE">
        <w:trPr>
          <w:jc w:val="center"/>
        </w:trPr>
        <w:tc>
          <w:tcPr>
            <w:tcW w:w="4219" w:type="dxa"/>
          </w:tcPr>
          <w:p w:rsidR="00BC0086" w:rsidRDefault="00BC0086" w:rsidP="007D062C">
            <w:pPr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BC0086" w:rsidRPr="00121252" w:rsidRDefault="00BC0086" w:rsidP="00B32EE2">
            <w:pPr>
              <w:jc w:val="both"/>
              <w:rPr>
                <w:rFonts w:ascii="Century Gothic" w:hAnsi="Century Gothic"/>
                <w:sz w:val="18"/>
              </w:rPr>
            </w:pPr>
            <w:r w:rsidRPr="00121252">
              <w:rPr>
                <w:rFonts w:ascii="Century Gothic" w:hAnsi="Century Gothic"/>
                <w:color w:val="000000"/>
                <w:sz w:val="18"/>
                <w:szCs w:val="18"/>
              </w:rPr>
              <w:t>4: </w:t>
            </w:r>
            <w:r w:rsidRPr="005E7F3A">
              <w:rPr>
                <w:rFonts w:ascii="Century Gothic" w:hAnsi="Century Gothic"/>
                <w:b/>
                <w:color w:val="000000"/>
                <w:sz w:val="18"/>
                <w:szCs w:val="18"/>
                <w:lang w:val="es-ES_tradnl"/>
              </w:rPr>
              <w:t>Descripción de proyectos productivos y seguimiento de cada uno</w:t>
            </w:r>
            <w:r w:rsidRPr="00121252">
              <w:rPr>
                <w:rFonts w:ascii="Century Gothic" w:hAnsi="Century Gothic"/>
                <w:color w:val="000000"/>
                <w:sz w:val="18"/>
                <w:szCs w:val="18"/>
                <w:lang w:val="es-ES_tradnl"/>
              </w:rPr>
              <w:t>, con la finalidad de verificar el cumplimiento de los ciclos y el impacto de las inversiones.</w:t>
            </w:r>
          </w:p>
        </w:tc>
        <w:tc>
          <w:tcPr>
            <w:tcW w:w="5245" w:type="dxa"/>
          </w:tcPr>
          <w:p w:rsidR="00BC0086" w:rsidRDefault="00BC0086" w:rsidP="005E7F3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Default="00BC0086" w:rsidP="005E7F3A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Consta de diferentes conceptos, en el caso de Proyectos estratégicos.</w:t>
            </w:r>
          </w:p>
          <w:p w:rsidR="00BC0086" w:rsidRDefault="00BC0086" w:rsidP="005E7F3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Default="00BC0086" w:rsidP="005E7F3A">
            <w:pPr>
              <w:jc w:val="both"/>
              <w:rPr>
                <w:rFonts w:ascii="Century Gothic" w:hAnsi="Century Gothic"/>
                <w:b/>
                <w:sz w:val="18"/>
              </w:rPr>
            </w:pPr>
            <w:r w:rsidRPr="00332B0E">
              <w:rPr>
                <w:rFonts w:ascii="Century Gothic" w:hAnsi="Century Gothic"/>
                <w:b/>
                <w:sz w:val="18"/>
              </w:rPr>
              <w:t xml:space="preserve">Se cuenta con un proyecto por solicitud, a diferencia de los conceptos de infraestructura y equipamiento, que va conforme a las Reglas de Operación (ROP) de la SAGARPA, y acuerdo del FOFAET. </w:t>
            </w:r>
          </w:p>
          <w:p w:rsidR="00BC0086" w:rsidRPr="00332B0E" w:rsidRDefault="00BC0086" w:rsidP="005E7F3A">
            <w:pPr>
              <w:jc w:val="both"/>
              <w:rPr>
                <w:rFonts w:ascii="Century Gothic" w:hAnsi="Century Gothic"/>
                <w:b/>
                <w:sz w:val="18"/>
              </w:rPr>
            </w:pPr>
          </w:p>
          <w:p w:rsidR="00BC0086" w:rsidRDefault="00BC0086" w:rsidP="005E7F3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Default="00BC0086" w:rsidP="005E7F3A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lastRenderedPageBreak/>
              <w:t>Los montos de apoyo no rebasan montos máximos, homologados, y solo se requiere la presentación de un proyecto ejecutivo.</w:t>
            </w:r>
          </w:p>
          <w:p w:rsidR="00BC0086" w:rsidRDefault="00BC0086" w:rsidP="005E7F3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Pr="00121252" w:rsidRDefault="00BC0086" w:rsidP="005E7F3A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3827" w:type="dxa"/>
          </w:tcPr>
          <w:p w:rsidR="00BC0086" w:rsidRDefault="00BC0086" w:rsidP="007D062C">
            <w:pPr>
              <w:rPr>
                <w:rFonts w:ascii="Century Gothic" w:hAnsi="Century Gothic"/>
                <w:sz w:val="18"/>
              </w:rPr>
            </w:pPr>
          </w:p>
          <w:p w:rsidR="00BC0086" w:rsidRDefault="00BC0086" w:rsidP="005E7F3A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Documentar, anexar documentación soporte.</w:t>
            </w:r>
          </w:p>
          <w:p w:rsidR="00BC0086" w:rsidRDefault="00BC0086" w:rsidP="005E7F3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Pr="00121252" w:rsidRDefault="00BC0086" w:rsidP="00BC0086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(Según oficio SEFOA D.O/160/2017, se ya se solvento, pero no se encontró las evidencias.)</w:t>
            </w:r>
          </w:p>
        </w:tc>
        <w:tc>
          <w:tcPr>
            <w:tcW w:w="2552" w:type="dxa"/>
          </w:tcPr>
          <w:p w:rsidR="00BC0086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Pr="00D22199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Pr="00D22199" w:rsidRDefault="00BC0086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ATENDIDO</w:t>
            </w:r>
          </w:p>
        </w:tc>
        <w:tc>
          <w:tcPr>
            <w:tcW w:w="1984" w:type="dxa"/>
          </w:tcPr>
          <w:p w:rsidR="00BC0086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Pr="00D22199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Default="00BC0086" w:rsidP="00E065D1">
            <w:pPr>
              <w:rPr>
                <w:rFonts w:ascii="Century Gothic" w:hAnsi="Century Gothic"/>
                <w:sz w:val="18"/>
              </w:rPr>
            </w:pPr>
          </w:p>
          <w:p w:rsidR="00BC0086" w:rsidRPr="00D22199" w:rsidRDefault="00BC0086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100</w:t>
            </w:r>
          </w:p>
        </w:tc>
      </w:tr>
      <w:tr w:rsidR="00BC0086" w:rsidRPr="00121252" w:rsidTr="00805FDE">
        <w:trPr>
          <w:jc w:val="center"/>
        </w:trPr>
        <w:tc>
          <w:tcPr>
            <w:tcW w:w="4219" w:type="dxa"/>
          </w:tcPr>
          <w:p w:rsidR="00BC0086" w:rsidRDefault="00BC0086" w:rsidP="00AD1336">
            <w:pPr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BC0086" w:rsidRDefault="00BC0086" w:rsidP="00AD1336">
            <w:pPr>
              <w:jc w:val="both"/>
              <w:rPr>
                <w:rFonts w:ascii="Century Gothic" w:hAnsi="Century Gothic"/>
                <w:color w:val="000000"/>
                <w:sz w:val="18"/>
                <w:szCs w:val="18"/>
                <w:lang w:val="es-ES_tradnl"/>
              </w:rPr>
            </w:pPr>
            <w:r w:rsidRPr="00121252">
              <w:rPr>
                <w:rFonts w:ascii="Century Gothic" w:hAnsi="Century Gothic"/>
                <w:color w:val="000000"/>
                <w:sz w:val="18"/>
                <w:szCs w:val="18"/>
              </w:rPr>
              <w:t>5: </w:t>
            </w:r>
            <w:r w:rsidRPr="00AD1336">
              <w:rPr>
                <w:rFonts w:ascii="Century Gothic" w:hAnsi="Century Gothic"/>
                <w:b/>
                <w:color w:val="000000"/>
                <w:sz w:val="18"/>
                <w:szCs w:val="18"/>
                <w:lang w:val="es-ES_tradnl"/>
              </w:rPr>
              <w:t>Establecer un mecanismo de control para realizar supervisiones de seguimiento</w:t>
            </w:r>
            <w:r w:rsidRPr="00121252">
              <w:rPr>
                <w:rFonts w:ascii="Century Gothic" w:hAnsi="Century Gothic"/>
                <w:color w:val="000000"/>
                <w:sz w:val="18"/>
                <w:szCs w:val="18"/>
                <w:lang w:val="es-ES_tradnl"/>
              </w:rPr>
              <w:t xml:space="preserve"> a los proyectos pagados.</w:t>
            </w:r>
          </w:p>
          <w:p w:rsidR="00BC0086" w:rsidRPr="00121252" w:rsidRDefault="00BC0086" w:rsidP="00AD1336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5245" w:type="dxa"/>
          </w:tcPr>
          <w:p w:rsidR="00BC0086" w:rsidRDefault="00BC0086" w:rsidP="00AD1336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Pr="00121252" w:rsidRDefault="00BC0086" w:rsidP="00AD1336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Se propone contemplar un recurso para realizar una evaluación de impacto y resultados del programa en sus diferentes componentes.</w:t>
            </w:r>
          </w:p>
        </w:tc>
        <w:tc>
          <w:tcPr>
            <w:tcW w:w="3827" w:type="dxa"/>
          </w:tcPr>
          <w:p w:rsidR="00BC0086" w:rsidRDefault="00BC0086" w:rsidP="00AD1336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Default="00BC0086" w:rsidP="00AD1336">
            <w:pPr>
              <w:jc w:val="both"/>
              <w:rPr>
                <w:rFonts w:ascii="Century Gothic" w:hAnsi="Century Gothic"/>
                <w:sz w:val="18"/>
              </w:rPr>
            </w:pPr>
            <w:r w:rsidRPr="00AD1336">
              <w:rPr>
                <w:rFonts w:ascii="Century Gothic" w:hAnsi="Century Gothic"/>
                <w:b/>
                <w:sz w:val="18"/>
              </w:rPr>
              <w:t>Realizar un programa de seguimiento para la correcta supervisión</w:t>
            </w:r>
            <w:r>
              <w:rPr>
                <w:rFonts w:ascii="Century Gothic" w:hAnsi="Century Gothic"/>
                <w:sz w:val="18"/>
              </w:rPr>
              <w:t xml:space="preserve">. </w:t>
            </w:r>
          </w:p>
          <w:p w:rsidR="00BC0086" w:rsidRDefault="00BC0086" w:rsidP="00AD1336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BC0086" w:rsidRDefault="00BC0086" w:rsidP="00AD1336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Esta recomendación no tiene que ver con una evaluación de impacto.</w:t>
            </w:r>
          </w:p>
          <w:p w:rsidR="00BC0086" w:rsidRPr="00121252" w:rsidRDefault="00BC0086" w:rsidP="00AD1336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2552" w:type="dxa"/>
          </w:tcPr>
          <w:p w:rsidR="00BC0086" w:rsidRDefault="00BC0086" w:rsidP="007D062C">
            <w:pPr>
              <w:rPr>
                <w:rFonts w:ascii="Century Gothic" w:hAnsi="Century Gothic"/>
                <w:sz w:val="18"/>
              </w:rPr>
            </w:pPr>
          </w:p>
          <w:p w:rsidR="00BC0086" w:rsidRDefault="00BC0086" w:rsidP="00BC0086">
            <w:pPr>
              <w:rPr>
                <w:rFonts w:ascii="Century Gothic" w:hAnsi="Century Gothic"/>
                <w:sz w:val="18"/>
              </w:rPr>
            </w:pPr>
          </w:p>
          <w:p w:rsidR="00BC0086" w:rsidRDefault="00BC0086" w:rsidP="00BC0086">
            <w:pPr>
              <w:rPr>
                <w:rFonts w:ascii="Century Gothic" w:hAnsi="Century Gothic"/>
                <w:sz w:val="18"/>
              </w:rPr>
            </w:pPr>
          </w:p>
          <w:p w:rsidR="00BC0086" w:rsidRPr="00BC0086" w:rsidRDefault="00BC0086" w:rsidP="00BC0086">
            <w:pPr>
              <w:ind w:firstLine="708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SE REORIENTA</w:t>
            </w:r>
          </w:p>
        </w:tc>
        <w:tc>
          <w:tcPr>
            <w:tcW w:w="1984" w:type="dxa"/>
          </w:tcPr>
          <w:p w:rsidR="00BC0086" w:rsidRPr="00121252" w:rsidRDefault="00BC0086" w:rsidP="007D062C">
            <w:pPr>
              <w:rPr>
                <w:rFonts w:ascii="Century Gothic" w:hAnsi="Century Gothic"/>
                <w:sz w:val="18"/>
              </w:rPr>
            </w:pPr>
          </w:p>
        </w:tc>
      </w:tr>
      <w:tr w:rsidR="00FF07AE" w:rsidRPr="00121252" w:rsidTr="00805FDE">
        <w:trPr>
          <w:jc w:val="center"/>
        </w:trPr>
        <w:tc>
          <w:tcPr>
            <w:tcW w:w="4219" w:type="dxa"/>
          </w:tcPr>
          <w:p w:rsidR="00FF07AE" w:rsidRDefault="00FF07AE" w:rsidP="00D56F9A">
            <w:pPr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FF07AE" w:rsidRPr="00121252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  <w:r w:rsidRPr="00121252">
              <w:rPr>
                <w:rFonts w:ascii="Century Gothic" w:hAnsi="Century Gothic"/>
                <w:color w:val="000000"/>
                <w:sz w:val="18"/>
                <w:szCs w:val="18"/>
              </w:rPr>
              <w:t>6: </w:t>
            </w:r>
            <w:r w:rsidRPr="00121252">
              <w:rPr>
                <w:rFonts w:ascii="Century Gothic" w:hAnsi="Century Gothic"/>
                <w:color w:val="000000"/>
                <w:sz w:val="18"/>
                <w:szCs w:val="18"/>
                <w:lang w:val="es-ES_tradnl"/>
              </w:rPr>
              <w:t xml:space="preserve">Sistematizar </w:t>
            </w:r>
            <w:r w:rsidRPr="00D56F9A">
              <w:rPr>
                <w:rFonts w:ascii="Century Gothic" w:hAnsi="Century Gothic"/>
                <w:b/>
                <w:color w:val="000000"/>
                <w:sz w:val="18"/>
                <w:szCs w:val="18"/>
                <w:lang w:val="es-ES_tradnl"/>
              </w:rPr>
              <w:t>un mecanismo de seguimiento</w:t>
            </w:r>
            <w:r w:rsidRPr="00121252">
              <w:rPr>
                <w:rFonts w:ascii="Century Gothic" w:hAnsi="Century Gothic"/>
                <w:color w:val="000000"/>
                <w:sz w:val="18"/>
                <w:szCs w:val="18"/>
                <w:lang w:val="es-ES_tradnl"/>
              </w:rPr>
              <w:t xml:space="preserve"> de aspectos susceptibles de mejora identificados en evaluaciones anteriores.</w:t>
            </w:r>
          </w:p>
        </w:tc>
        <w:tc>
          <w:tcPr>
            <w:tcW w:w="5245" w:type="dxa"/>
          </w:tcPr>
          <w:p w:rsidR="00FF07AE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F07AE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El programa se rige de acuerdo a las ROP de la SAGARPA, y se opera por el ejecutor del gasto que corresponde al gobierno del estado a través de la SEFOA.</w:t>
            </w:r>
          </w:p>
          <w:p w:rsidR="00FF07AE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F07AE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El seguimiento a los aspectos susceptibles de mejora, se tendrán que  proponer al FOFAET para su implementación. </w:t>
            </w:r>
          </w:p>
          <w:p w:rsidR="00FF07AE" w:rsidRPr="00121252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3827" w:type="dxa"/>
          </w:tcPr>
          <w:p w:rsidR="00FF07AE" w:rsidRDefault="00FF07AE" w:rsidP="007D062C">
            <w:pPr>
              <w:rPr>
                <w:rFonts w:ascii="Century Gothic" w:hAnsi="Century Gothic"/>
                <w:sz w:val="18"/>
              </w:rPr>
            </w:pPr>
          </w:p>
          <w:p w:rsidR="00FF07AE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Los ASM, </w:t>
            </w:r>
            <w:r w:rsidRPr="00D56F9A">
              <w:rPr>
                <w:rFonts w:ascii="Century Gothic" w:hAnsi="Century Gothic"/>
                <w:b/>
                <w:sz w:val="18"/>
              </w:rPr>
              <w:t>son recomendaciones que están elaboradas para mejorar el manejo del Fondo.</w:t>
            </w:r>
            <w:r>
              <w:rPr>
                <w:rFonts w:ascii="Century Gothic" w:hAnsi="Century Gothic"/>
                <w:sz w:val="18"/>
              </w:rPr>
              <w:t xml:space="preserve"> </w:t>
            </w:r>
          </w:p>
          <w:p w:rsidR="00FF07AE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FF07AE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Si es necesario someterlo a su junta directiva, realizarlo para poder avanzar.</w:t>
            </w:r>
          </w:p>
          <w:p w:rsidR="00FF07AE" w:rsidRPr="00121252" w:rsidRDefault="00FF07AE" w:rsidP="00D56F9A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2552" w:type="dxa"/>
          </w:tcPr>
          <w:p w:rsidR="00FF07AE" w:rsidRDefault="00FF07AE" w:rsidP="00E065D1">
            <w:pPr>
              <w:rPr>
                <w:rFonts w:ascii="Century Gothic" w:hAnsi="Century Gothic"/>
                <w:sz w:val="18"/>
              </w:rPr>
            </w:pPr>
          </w:p>
          <w:p w:rsidR="00FF07AE" w:rsidRPr="00D22199" w:rsidRDefault="00FF07AE" w:rsidP="00E065D1">
            <w:pPr>
              <w:rPr>
                <w:rFonts w:ascii="Century Gothic" w:hAnsi="Century Gothic"/>
                <w:sz w:val="18"/>
              </w:rPr>
            </w:pPr>
          </w:p>
          <w:p w:rsidR="00FF07AE" w:rsidRDefault="00FF07AE" w:rsidP="00E065D1">
            <w:pPr>
              <w:rPr>
                <w:rFonts w:ascii="Century Gothic" w:hAnsi="Century Gothic"/>
                <w:sz w:val="18"/>
              </w:rPr>
            </w:pPr>
          </w:p>
          <w:p w:rsidR="00FF07AE" w:rsidRPr="00D22199" w:rsidRDefault="00FF07AE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ATENDIDO</w:t>
            </w:r>
          </w:p>
        </w:tc>
        <w:tc>
          <w:tcPr>
            <w:tcW w:w="1984" w:type="dxa"/>
          </w:tcPr>
          <w:p w:rsidR="00FF07AE" w:rsidRDefault="00FF07AE" w:rsidP="00E065D1">
            <w:pPr>
              <w:rPr>
                <w:rFonts w:ascii="Century Gothic" w:hAnsi="Century Gothic"/>
                <w:sz w:val="18"/>
              </w:rPr>
            </w:pPr>
          </w:p>
          <w:p w:rsidR="00FF07AE" w:rsidRPr="00D22199" w:rsidRDefault="00FF07AE" w:rsidP="00E065D1">
            <w:pPr>
              <w:rPr>
                <w:rFonts w:ascii="Century Gothic" w:hAnsi="Century Gothic"/>
                <w:sz w:val="18"/>
              </w:rPr>
            </w:pPr>
          </w:p>
          <w:p w:rsidR="00FF07AE" w:rsidRDefault="00FF07AE" w:rsidP="00E065D1">
            <w:pPr>
              <w:rPr>
                <w:rFonts w:ascii="Century Gothic" w:hAnsi="Century Gothic"/>
                <w:sz w:val="18"/>
              </w:rPr>
            </w:pPr>
          </w:p>
          <w:p w:rsidR="00FF07AE" w:rsidRPr="00D22199" w:rsidRDefault="00FF07AE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100</w:t>
            </w:r>
          </w:p>
        </w:tc>
      </w:tr>
      <w:tr w:rsidR="000C6934" w:rsidRPr="00121252" w:rsidTr="00805FDE">
        <w:trPr>
          <w:jc w:val="center"/>
        </w:trPr>
        <w:tc>
          <w:tcPr>
            <w:tcW w:w="4219" w:type="dxa"/>
          </w:tcPr>
          <w:p w:rsidR="000C6934" w:rsidRDefault="000C6934" w:rsidP="00D56F9A">
            <w:pPr>
              <w:jc w:val="both"/>
              <w:rPr>
                <w:rFonts w:ascii="Century Gothic" w:hAnsi="Century Gothic"/>
                <w:color w:val="000000"/>
                <w:sz w:val="18"/>
                <w:szCs w:val="18"/>
              </w:rPr>
            </w:pPr>
          </w:p>
          <w:p w:rsidR="000C6934" w:rsidRDefault="000C6934" w:rsidP="00D56F9A">
            <w:pPr>
              <w:jc w:val="both"/>
              <w:rPr>
                <w:rFonts w:ascii="Century Gothic" w:hAnsi="Century Gothic"/>
                <w:color w:val="000000"/>
                <w:sz w:val="18"/>
                <w:szCs w:val="18"/>
                <w:lang w:val="es-ES_tradnl"/>
              </w:rPr>
            </w:pPr>
            <w:r w:rsidRPr="00121252">
              <w:rPr>
                <w:rFonts w:ascii="Century Gothic" w:hAnsi="Century Gothic"/>
                <w:color w:val="000000"/>
                <w:sz w:val="18"/>
                <w:szCs w:val="18"/>
              </w:rPr>
              <w:t>7: </w:t>
            </w:r>
            <w:r w:rsidRPr="00121252">
              <w:rPr>
                <w:rFonts w:ascii="Century Gothic" w:hAnsi="Century Gothic"/>
                <w:color w:val="000000"/>
                <w:sz w:val="18"/>
                <w:szCs w:val="18"/>
                <w:lang w:val="es-ES_tradnl"/>
              </w:rPr>
              <w:t>El Programa de Concurrencia con Entidades Federativas cuenta con una Evaluación Específica de Desempeño 2015 que no fue reportada dentro de las evidencias para la realización de la presente evaluación</w:t>
            </w:r>
          </w:p>
          <w:p w:rsidR="000C6934" w:rsidRPr="00121252" w:rsidRDefault="000C6934" w:rsidP="00D56F9A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5245" w:type="dxa"/>
          </w:tcPr>
          <w:p w:rsidR="000C6934" w:rsidRDefault="000C6934" w:rsidP="00D56F9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0C6934" w:rsidRDefault="000C6934" w:rsidP="00D56F9A">
            <w:pPr>
              <w:jc w:val="both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La evaluación específica de desempeño 2015, del programa de concurrencia con las entidades federativas en encuentra publicado en la página de la SEFOA, con el link: </w:t>
            </w:r>
            <w:hyperlink r:id="rId7" w:history="1">
              <w:r w:rsidRPr="00F62310">
                <w:rPr>
                  <w:rStyle w:val="Hipervnculo"/>
                  <w:rFonts w:ascii="Century Gothic" w:hAnsi="Century Gothic"/>
                  <w:sz w:val="18"/>
                </w:rPr>
                <w:t>http://www.sefoatlaxcala.gob.mx/evaluacion/2016/pcef_ef15.pdf</w:t>
              </w:r>
            </w:hyperlink>
          </w:p>
          <w:p w:rsidR="000C6934" w:rsidRDefault="000C6934" w:rsidP="00D56F9A">
            <w:pPr>
              <w:jc w:val="both"/>
              <w:rPr>
                <w:rFonts w:ascii="Century Gothic" w:hAnsi="Century Gothic"/>
                <w:sz w:val="18"/>
              </w:rPr>
            </w:pPr>
          </w:p>
          <w:p w:rsidR="000C6934" w:rsidRPr="00121252" w:rsidRDefault="000C6934" w:rsidP="00D56F9A">
            <w:pPr>
              <w:jc w:val="both"/>
              <w:rPr>
                <w:rFonts w:ascii="Century Gothic" w:hAnsi="Century Gothic"/>
                <w:sz w:val="18"/>
              </w:rPr>
            </w:pPr>
          </w:p>
        </w:tc>
        <w:tc>
          <w:tcPr>
            <w:tcW w:w="3827" w:type="dxa"/>
          </w:tcPr>
          <w:p w:rsidR="000C6934" w:rsidRDefault="000C6934" w:rsidP="007D062C">
            <w:pPr>
              <w:rPr>
                <w:rFonts w:ascii="Century Gothic" w:hAnsi="Century Gothic"/>
                <w:sz w:val="18"/>
              </w:rPr>
            </w:pPr>
          </w:p>
          <w:p w:rsidR="000C6934" w:rsidRDefault="000C6934" w:rsidP="007D062C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Además esta publicada en el portal oficial de la SPF.</w:t>
            </w:r>
          </w:p>
          <w:p w:rsidR="000C6934" w:rsidRDefault="000C6934" w:rsidP="007D062C">
            <w:pPr>
              <w:rPr>
                <w:rFonts w:ascii="Century Gothic" w:hAnsi="Century Gothic"/>
                <w:sz w:val="18"/>
              </w:rPr>
            </w:pPr>
          </w:p>
          <w:p w:rsidR="000C6934" w:rsidRPr="00961EB2" w:rsidRDefault="00805FDE" w:rsidP="00961EB2">
            <w:pPr>
              <w:rPr>
                <w:rFonts w:ascii="Arial" w:hAnsi="Arial" w:cs="Arial"/>
                <w:color w:val="000000" w:themeColor="text1"/>
                <w:sz w:val="14"/>
                <w:szCs w:val="18"/>
              </w:rPr>
            </w:pPr>
            <w:hyperlink r:id="rId8" w:history="1">
              <w:r w:rsidR="000C6934" w:rsidRPr="00961EB2">
                <w:rPr>
                  <w:rStyle w:val="Hipervnculo"/>
                  <w:rFonts w:ascii="Arial" w:hAnsi="Arial" w:cs="Arial"/>
                  <w:color w:val="000000" w:themeColor="text1"/>
                  <w:sz w:val="14"/>
                  <w:szCs w:val="18"/>
                  <w:u w:val="none"/>
                </w:rPr>
                <w:t>http://evaluacion.tlaxcala.gob.mx/images/stories/</w:t>
              </w:r>
            </w:hyperlink>
          </w:p>
          <w:p w:rsidR="000C6934" w:rsidRDefault="000C6934" w:rsidP="00961EB2">
            <w:pPr>
              <w:rPr>
                <w:rFonts w:ascii="Arial" w:hAnsi="Arial" w:cs="Arial"/>
                <w:sz w:val="14"/>
                <w:szCs w:val="18"/>
              </w:rPr>
            </w:pPr>
            <w:r w:rsidRPr="00961EB2">
              <w:rPr>
                <w:rFonts w:ascii="Arial" w:hAnsi="Arial" w:cs="Arial"/>
                <w:sz w:val="14"/>
                <w:szCs w:val="18"/>
              </w:rPr>
              <w:t>documentos/</w:t>
            </w:r>
            <w:proofErr w:type="spellStart"/>
            <w:r w:rsidRPr="00961EB2">
              <w:rPr>
                <w:rFonts w:ascii="Arial" w:hAnsi="Arial" w:cs="Arial"/>
                <w:sz w:val="14"/>
                <w:szCs w:val="18"/>
              </w:rPr>
              <w:t>evalua</w:t>
            </w:r>
            <w:proofErr w:type="spellEnd"/>
            <w:r w:rsidRPr="00961EB2">
              <w:rPr>
                <w:rFonts w:ascii="Arial" w:hAnsi="Arial" w:cs="Arial"/>
                <w:sz w:val="14"/>
                <w:szCs w:val="18"/>
              </w:rPr>
              <w:t>/evaluaciones/ef15/26_pcef_ef_15.pdf</w:t>
            </w:r>
          </w:p>
          <w:p w:rsidR="000C6934" w:rsidRDefault="000C6934" w:rsidP="007D062C">
            <w:pPr>
              <w:rPr>
                <w:rFonts w:ascii="Century Gothic" w:hAnsi="Century Gothic"/>
                <w:sz w:val="18"/>
              </w:rPr>
            </w:pPr>
          </w:p>
          <w:p w:rsidR="000C6934" w:rsidRPr="00121252" w:rsidRDefault="000C6934" w:rsidP="007D062C">
            <w:pPr>
              <w:rPr>
                <w:rFonts w:ascii="Century Gothic" w:hAnsi="Century Gothic"/>
                <w:sz w:val="18"/>
              </w:rPr>
            </w:pPr>
          </w:p>
        </w:tc>
        <w:tc>
          <w:tcPr>
            <w:tcW w:w="2552" w:type="dxa"/>
          </w:tcPr>
          <w:p w:rsidR="000C6934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Pr="00D22199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Pr="00D22199" w:rsidRDefault="000C6934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ATENDIDO</w:t>
            </w:r>
          </w:p>
        </w:tc>
        <w:tc>
          <w:tcPr>
            <w:tcW w:w="1984" w:type="dxa"/>
          </w:tcPr>
          <w:p w:rsidR="000C6934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Pr="00D22199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Default="000C6934" w:rsidP="00E065D1">
            <w:pPr>
              <w:rPr>
                <w:rFonts w:ascii="Century Gothic" w:hAnsi="Century Gothic"/>
                <w:sz w:val="18"/>
              </w:rPr>
            </w:pPr>
          </w:p>
          <w:p w:rsidR="000C6934" w:rsidRPr="00D22199" w:rsidRDefault="000C6934" w:rsidP="00E065D1">
            <w:pPr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100</w:t>
            </w:r>
          </w:p>
        </w:tc>
      </w:tr>
    </w:tbl>
    <w:p w:rsidR="008E19F3" w:rsidRPr="0004674D" w:rsidRDefault="008E19F3" w:rsidP="008E19F3">
      <w:pPr>
        <w:pStyle w:val="Texto"/>
        <w:spacing w:line="252" w:lineRule="exact"/>
        <w:rPr>
          <w:szCs w:val="18"/>
        </w:rPr>
      </w:pPr>
    </w:p>
    <w:p w:rsidR="008E19F3" w:rsidRPr="0004674D" w:rsidRDefault="008E19F3" w:rsidP="008E19F3">
      <w:pPr>
        <w:pStyle w:val="Texto"/>
        <w:spacing w:line="14" w:lineRule="exact"/>
        <w:rPr>
          <w:szCs w:val="18"/>
        </w:rPr>
      </w:pPr>
    </w:p>
    <w:p w:rsidR="008E19F3" w:rsidRPr="0004674D" w:rsidRDefault="008E19F3" w:rsidP="008E19F3">
      <w:pPr>
        <w:pStyle w:val="Texto"/>
        <w:tabs>
          <w:tab w:val="left" w:pos="1067"/>
          <w:tab w:val="left" w:pos="4062"/>
          <w:tab w:val="left" w:pos="4222"/>
          <w:tab w:val="left" w:pos="6556"/>
          <w:tab w:val="left" w:pos="7780"/>
        </w:tabs>
        <w:spacing w:line="268" w:lineRule="exact"/>
        <w:ind w:left="144" w:firstLine="0"/>
        <w:jc w:val="left"/>
        <w:rPr>
          <w:color w:val="000000"/>
          <w:szCs w:val="18"/>
          <w:lang w:eastAsia="es-MX"/>
        </w:rPr>
      </w:pPr>
    </w:p>
    <w:p w:rsidR="00C51389" w:rsidRDefault="00805FDE">
      <w:pPr>
        <w:rPr>
          <w:rFonts w:ascii="Arial" w:hAnsi="Arial" w:cs="Arial"/>
          <w:sz w:val="18"/>
          <w:szCs w:val="18"/>
        </w:rPr>
      </w:pPr>
    </w:p>
    <w:p w:rsidR="0091467B" w:rsidRDefault="0091467B">
      <w:pPr>
        <w:rPr>
          <w:rFonts w:ascii="Arial" w:hAnsi="Arial" w:cs="Arial"/>
          <w:sz w:val="18"/>
          <w:szCs w:val="18"/>
        </w:rPr>
      </w:pPr>
    </w:p>
    <w:p w:rsidR="0056783A" w:rsidRPr="0074654A" w:rsidRDefault="0056783A" w:rsidP="0056783A">
      <w:pPr>
        <w:rPr>
          <w:rFonts w:ascii="Century Gothic" w:hAnsi="Century Gothic"/>
          <w:b/>
          <w:sz w:val="20"/>
        </w:rPr>
      </w:pPr>
      <w:r>
        <w:rPr>
          <w:rFonts w:ascii="Century Gothic" w:hAnsi="Century Gothic"/>
          <w:b/>
          <w:sz w:val="20"/>
        </w:rPr>
        <w:lastRenderedPageBreak/>
        <w:t>Página oficial de SEFOA</w:t>
      </w:r>
      <w:r w:rsidRPr="0074654A">
        <w:rPr>
          <w:rFonts w:ascii="Century Gothic" w:hAnsi="Century Gothic"/>
          <w:b/>
          <w:sz w:val="20"/>
        </w:rPr>
        <w:t>:</w:t>
      </w:r>
    </w:p>
    <w:p w:rsidR="0056783A" w:rsidRPr="0074654A" w:rsidRDefault="0056783A" w:rsidP="0056783A">
      <w:pPr>
        <w:rPr>
          <w:rFonts w:ascii="Century Gothic" w:hAnsi="Century Gothic"/>
          <w:b/>
          <w:sz w:val="20"/>
        </w:rPr>
      </w:pPr>
    </w:p>
    <w:p w:rsidR="0056783A" w:rsidRPr="0074654A" w:rsidRDefault="0056783A" w:rsidP="0056783A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 xml:space="preserve">Definir una MIR a </w:t>
      </w:r>
      <w:r>
        <w:rPr>
          <w:rFonts w:ascii="Century Gothic" w:hAnsi="Century Gothic"/>
          <w:sz w:val="20"/>
        </w:rPr>
        <w:t>nivel estatal exclusiva del PCEF</w:t>
      </w:r>
      <w:r w:rsidRPr="0074654A">
        <w:rPr>
          <w:rFonts w:ascii="Century Gothic" w:hAnsi="Century Gothic"/>
          <w:sz w:val="20"/>
        </w:rPr>
        <w:t>, que coadyuve a robustecer el seguimiento y evaluación del Fondo.</w:t>
      </w:r>
    </w:p>
    <w:p w:rsidR="0056783A" w:rsidRPr="0074654A" w:rsidRDefault="0056783A" w:rsidP="0056783A">
      <w:pPr>
        <w:pStyle w:val="Prrafodelista"/>
        <w:jc w:val="both"/>
        <w:rPr>
          <w:rFonts w:ascii="Century Gothic" w:hAnsi="Century Gothic"/>
          <w:sz w:val="20"/>
        </w:rPr>
      </w:pPr>
    </w:p>
    <w:p w:rsidR="0056783A" w:rsidRPr="0074654A" w:rsidRDefault="0056783A" w:rsidP="0056783A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>En cuanto a su página oficial de la Secretaría, no están publicados:</w:t>
      </w:r>
    </w:p>
    <w:p w:rsidR="0056783A" w:rsidRPr="0074654A" w:rsidRDefault="0056783A" w:rsidP="0056783A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>Reporte de Indicadores</w:t>
      </w:r>
    </w:p>
    <w:p w:rsidR="0056783A" w:rsidRPr="0074654A" w:rsidRDefault="0056783A" w:rsidP="0056783A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>No esta publicada su Ficha CONAC</w:t>
      </w:r>
    </w:p>
    <w:p w:rsidR="0056783A" w:rsidRDefault="0056783A" w:rsidP="0056783A">
      <w:pPr>
        <w:pStyle w:val="Prrafodelista"/>
        <w:spacing w:after="160" w:line="259" w:lineRule="auto"/>
        <w:ind w:left="1440"/>
        <w:jc w:val="both"/>
        <w:rPr>
          <w:rFonts w:ascii="Century Gothic" w:hAnsi="Century Gothic"/>
          <w:sz w:val="20"/>
        </w:rPr>
      </w:pPr>
    </w:p>
    <w:p w:rsidR="001A6B67" w:rsidRDefault="001A6B67" w:rsidP="0056783A">
      <w:pPr>
        <w:pStyle w:val="Prrafodelista"/>
        <w:spacing w:after="160" w:line="259" w:lineRule="auto"/>
        <w:ind w:left="1440"/>
        <w:jc w:val="both"/>
        <w:rPr>
          <w:rFonts w:ascii="Century Gothic" w:hAnsi="Century Gothic"/>
          <w:sz w:val="20"/>
        </w:rPr>
      </w:pPr>
    </w:p>
    <w:p w:rsidR="001A6B67" w:rsidRPr="0074654A" w:rsidRDefault="001A6B67" w:rsidP="001A6B67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>Matriz de Indicadores para Resultados (MIR 2016)</w:t>
      </w:r>
    </w:p>
    <w:p w:rsidR="001A6B67" w:rsidRDefault="001A6B67" w:rsidP="001A6B67">
      <w:pPr>
        <w:pStyle w:val="Prrafodelista"/>
        <w:spacing w:after="160" w:line="259" w:lineRule="auto"/>
        <w:jc w:val="both"/>
        <w:rPr>
          <w:rFonts w:ascii="Century Gothic" w:hAnsi="Century Gothic"/>
          <w:sz w:val="20"/>
        </w:rPr>
      </w:pPr>
      <w:r w:rsidRPr="001A6B67">
        <w:rPr>
          <w:rFonts w:ascii="Century Gothic" w:hAnsi="Century Gothic"/>
          <w:sz w:val="20"/>
        </w:rPr>
        <w:t>http://sefoatlaxcala.gob.mx/mir/2016/MIR_1-PCEF_2016.pdf</w:t>
      </w:r>
    </w:p>
    <w:p w:rsidR="001A6B67" w:rsidRDefault="001A6B67" w:rsidP="0056783A">
      <w:pPr>
        <w:pStyle w:val="Prrafodelista"/>
        <w:spacing w:after="160" w:line="259" w:lineRule="auto"/>
        <w:ind w:left="1440"/>
        <w:jc w:val="both"/>
        <w:rPr>
          <w:rFonts w:ascii="Century Gothic" w:hAnsi="Century Gothic"/>
          <w:sz w:val="20"/>
        </w:rPr>
      </w:pPr>
    </w:p>
    <w:p w:rsidR="0056783A" w:rsidRPr="0074654A" w:rsidRDefault="0056783A" w:rsidP="0056783A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 xml:space="preserve">Se encuentra publicado el PAE 2017: </w:t>
      </w:r>
    </w:p>
    <w:p w:rsidR="0056783A" w:rsidRDefault="0056783A" w:rsidP="0056783A">
      <w:pPr>
        <w:pStyle w:val="Prrafodelista"/>
        <w:spacing w:after="160" w:line="259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 xml:space="preserve">No está publicado </w:t>
      </w:r>
    </w:p>
    <w:p w:rsidR="0056783A" w:rsidRPr="0074654A" w:rsidRDefault="0056783A" w:rsidP="0056783A">
      <w:pPr>
        <w:pStyle w:val="Prrafodelista"/>
        <w:spacing w:after="160" w:line="259" w:lineRule="auto"/>
        <w:jc w:val="both"/>
        <w:rPr>
          <w:rFonts w:ascii="Century Gothic" w:hAnsi="Century Gothic"/>
          <w:sz w:val="20"/>
        </w:rPr>
      </w:pPr>
    </w:p>
    <w:p w:rsidR="0056783A" w:rsidRPr="0074654A" w:rsidRDefault="0056783A" w:rsidP="0056783A">
      <w:pPr>
        <w:pStyle w:val="Prrafodelista"/>
        <w:numPr>
          <w:ilvl w:val="0"/>
          <w:numId w:val="16"/>
        </w:numPr>
        <w:spacing w:after="160" w:line="259" w:lineRule="auto"/>
        <w:jc w:val="both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t>Se visualiza la evaluación PCEF</w:t>
      </w:r>
      <w:r w:rsidRPr="0074654A">
        <w:rPr>
          <w:rFonts w:ascii="Century Gothic" w:hAnsi="Century Gothic"/>
          <w:sz w:val="20"/>
        </w:rPr>
        <w:t xml:space="preserve"> 2016:</w:t>
      </w:r>
    </w:p>
    <w:p w:rsidR="0056783A" w:rsidRPr="0074654A" w:rsidRDefault="0056783A" w:rsidP="0056783A">
      <w:pPr>
        <w:pStyle w:val="Prrafodelista"/>
        <w:spacing w:after="160" w:line="259" w:lineRule="auto"/>
        <w:jc w:val="both"/>
        <w:rPr>
          <w:rFonts w:ascii="Century Gothic" w:hAnsi="Century Gothic"/>
          <w:sz w:val="20"/>
        </w:rPr>
      </w:pPr>
      <w:r w:rsidRPr="0074654A">
        <w:rPr>
          <w:rFonts w:ascii="Century Gothic" w:hAnsi="Century Gothic"/>
          <w:sz w:val="20"/>
        </w:rPr>
        <w:t xml:space="preserve"> </w:t>
      </w:r>
      <w:r w:rsidRPr="0056783A">
        <w:rPr>
          <w:rFonts w:ascii="Century Gothic" w:hAnsi="Century Gothic"/>
          <w:sz w:val="20"/>
        </w:rPr>
        <w:t>http://sefoatlaxcala.gob.mx/evaluacion/2017/pcef_ef_16.pdf</w:t>
      </w:r>
    </w:p>
    <w:p w:rsidR="0056783A" w:rsidRPr="00E6340B" w:rsidRDefault="0056783A" w:rsidP="0056783A">
      <w:pPr>
        <w:pStyle w:val="Prrafodelista"/>
        <w:spacing w:after="160" w:line="259" w:lineRule="auto"/>
        <w:jc w:val="both"/>
        <w:rPr>
          <w:rFonts w:ascii="Century Gothic" w:hAnsi="Century Gothic"/>
          <w:sz w:val="16"/>
          <w:szCs w:val="16"/>
        </w:rPr>
      </w:pPr>
    </w:p>
    <w:p w:rsidR="0056783A" w:rsidRDefault="0056783A" w:rsidP="0056783A"/>
    <w:p w:rsidR="0091467B" w:rsidRDefault="0091467B">
      <w:pPr>
        <w:rPr>
          <w:rFonts w:ascii="Arial" w:hAnsi="Arial" w:cs="Arial"/>
          <w:sz w:val="18"/>
          <w:szCs w:val="18"/>
        </w:rPr>
      </w:pPr>
    </w:p>
    <w:p w:rsidR="0091467B" w:rsidRDefault="0091467B">
      <w:pPr>
        <w:rPr>
          <w:rFonts w:ascii="Arial" w:hAnsi="Arial" w:cs="Arial"/>
          <w:sz w:val="18"/>
          <w:szCs w:val="18"/>
        </w:rPr>
      </w:pPr>
    </w:p>
    <w:p w:rsidR="0091467B" w:rsidRDefault="0091467B">
      <w:pPr>
        <w:rPr>
          <w:rFonts w:ascii="Arial" w:hAnsi="Arial" w:cs="Arial"/>
          <w:sz w:val="18"/>
          <w:szCs w:val="18"/>
        </w:rPr>
      </w:pPr>
    </w:p>
    <w:p w:rsidR="0091467B" w:rsidRDefault="0091467B">
      <w:pPr>
        <w:rPr>
          <w:rFonts w:ascii="Arial" w:hAnsi="Arial" w:cs="Arial"/>
          <w:sz w:val="18"/>
          <w:szCs w:val="18"/>
        </w:rPr>
      </w:pPr>
    </w:p>
    <w:p w:rsidR="00961EB2" w:rsidRDefault="00961EB2">
      <w:pPr>
        <w:rPr>
          <w:rFonts w:ascii="Arial" w:hAnsi="Arial" w:cs="Arial"/>
          <w:sz w:val="18"/>
          <w:szCs w:val="18"/>
        </w:rPr>
      </w:pPr>
    </w:p>
    <w:p w:rsidR="00961EB2" w:rsidRPr="00961EB2" w:rsidRDefault="00961EB2">
      <w:pPr>
        <w:rPr>
          <w:rFonts w:ascii="Arial" w:hAnsi="Arial" w:cs="Arial"/>
          <w:sz w:val="14"/>
          <w:szCs w:val="18"/>
        </w:rPr>
      </w:pPr>
    </w:p>
    <w:sectPr w:rsidR="00961EB2" w:rsidRPr="00961EB2" w:rsidSect="00CB7BE6">
      <w:headerReference w:type="default" r:id="rId9"/>
      <w:pgSz w:w="20160" w:h="12240" w:orient="landscape" w:code="5"/>
      <w:pgMar w:top="1701" w:right="956" w:bottom="170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2FE" w:rsidRDefault="006032FE" w:rsidP="00A3655F">
      <w:r>
        <w:separator/>
      </w:r>
    </w:p>
  </w:endnote>
  <w:endnote w:type="continuationSeparator" w:id="0">
    <w:p w:rsidR="006032FE" w:rsidRDefault="006032FE" w:rsidP="00A36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2FE" w:rsidRDefault="006032FE" w:rsidP="00A3655F">
      <w:r>
        <w:separator/>
      </w:r>
    </w:p>
  </w:footnote>
  <w:footnote w:type="continuationSeparator" w:id="0">
    <w:p w:rsidR="006032FE" w:rsidRDefault="006032FE" w:rsidP="00A36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55F" w:rsidRDefault="00A3655F" w:rsidP="00A3655F">
    <w:pPr>
      <w:pStyle w:val="Encabezado"/>
      <w:jc w:val="right"/>
    </w:pPr>
    <w:r>
      <w:rPr>
        <w:noProof/>
        <w:lang w:val="es-MX"/>
      </w:rPr>
      <w:drawing>
        <wp:anchor distT="0" distB="0" distL="114300" distR="114300" simplePos="0" relativeHeight="251659264" behindDoc="0" locked="0" layoutInCell="1" allowOverlap="1" wp14:anchorId="78D45EBB" wp14:editId="064336DB">
          <wp:simplePos x="0" y="0"/>
          <wp:positionH relativeFrom="column">
            <wp:posOffset>12395</wp:posOffset>
          </wp:positionH>
          <wp:positionV relativeFrom="paragraph">
            <wp:posOffset>1682</wp:posOffset>
          </wp:positionV>
          <wp:extent cx="1904961" cy="385948"/>
          <wp:effectExtent l="0" t="0" r="635" b="0"/>
          <wp:wrapNone/>
          <wp:docPr id="4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0 Imagen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899" cy="3857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/>
      </w:rPr>
      <w:drawing>
        <wp:inline distT="0" distB="0" distL="0" distR="0" wp14:anchorId="5B9C1A0B" wp14:editId="0E9FF177">
          <wp:extent cx="1905989" cy="399632"/>
          <wp:effectExtent l="0" t="0" r="0" b="635"/>
          <wp:docPr id="2" name="Imagen 2" descr="C:\Users\DTED\Downloads\SPF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TED\Downloads\SPF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13" cy="399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6F63"/>
    <w:multiLevelType w:val="hybridMultilevel"/>
    <w:tmpl w:val="D76A7E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676D9"/>
    <w:multiLevelType w:val="hybridMultilevel"/>
    <w:tmpl w:val="5E9C00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02920"/>
    <w:multiLevelType w:val="hybridMultilevel"/>
    <w:tmpl w:val="CBE81BD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2208C4"/>
    <w:multiLevelType w:val="hybridMultilevel"/>
    <w:tmpl w:val="0930CC4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C67E7"/>
    <w:multiLevelType w:val="hybridMultilevel"/>
    <w:tmpl w:val="9AA8C7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C4AD7"/>
    <w:multiLevelType w:val="multilevel"/>
    <w:tmpl w:val="C884EF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3423397"/>
    <w:multiLevelType w:val="hybridMultilevel"/>
    <w:tmpl w:val="D600616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02AC9"/>
    <w:multiLevelType w:val="hybridMultilevel"/>
    <w:tmpl w:val="5240C90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E23AD"/>
    <w:multiLevelType w:val="hybridMultilevel"/>
    <w:tmpl w:val="0B0E604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D500DD"/>
    <w:multiLevelType w:val="hybridMultilevel"/>
    <w:tmpl w:val="8CD409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976492"/>
    <w:multiLevelType w:val="hybridMultilevel"/>
    <w:tmpl w:val="21228F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BD15C1"/>
    <w:multiLevelType w:val="multilevel"/>
    <w:tmpl w:val="71EAB1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5A3271F3"/>
    <w:multiLevelType w:val="multilevel"/>
    <w:tmpl w:val="B59E21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BFD2FEA"/>
    <w:multiLevelType w:val="hybridMultilevel"/>
    <w:tmpl w:val="5B10C75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2F5191"/>
    <w:multiLevelType w:val="hybridMultilevel"/>
    <w:tmpl w:val="DE9829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5E0D42"/>
    <w:multiLevelType w:val="hybridMultilevel"/>
    <w:tmpl w:val="851C2CCE"/>
    <w:lvl w:ilvl="0" w:tplc="0C0A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E722C33"/>
    <w:multiLevelType w:val="hybridMultilevel"/>
    <w:tmpl w:val="53D0B1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5"/>
  </w:num>
  <w:num w:numId="4">
    <w:abstractNumId w:val="16"/>
  </w:num>
  <w:num w:numId="5">
    <w:abstractNumId w:val="9"/>
  </w:num>
  <w:num w:numId="6">
    <w:abstractNumId w:val="1"/>
  </w:num>
  <w:num w:numId="7">
    <w:abstractNumId w:val="10"/>
  </w:num>
  <w:num w:numId="8">
    <w:abstractNumId w:val="4"/>
  </w:num>
  <w:num w:numId="9">
    <w:abstractNumId w:val="0"/>
  </w:num>
  <w:num w:numId="10">
    <w:abstractNumId w:val="11"/>
  </w:num>
  <w:num w:numId="11">
    <w:abstractNumId w:val="7"/>
  </w:num>
  <w:num w:numId="12">
    <w:abstractNumId w:val="12"/>
  </w:num>
  <w:num w:numId="13">
    <w:abstractNumId w:val="8"/>
  </w:num>
  <w:num w:numId="14">
    <w:abstractNumId w:val="3"/>
  </w:num>
  <w:num w:numId="15">
    <w:abstractNumId w:val="13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F3"/>
    <w:rsid w:val="00010D72"/>
    <w:rsid w:val="000169C1"/>
    <w:rsid w:val="00037924"/>
    <w:rsid w:val="0004674D"/>
    <w:rsid w:val="00064DFF"/>
    <w:rsid w:val="00067004"/>
    <w:rsid w:val="0008528C"/>
    <w:rsid w:val="000A7DF0"/>
    <w:rsid w:val="000C6934"/>
    <w:rsid w:val="000C7478"/>
    <w:rsid w:val="000D70EE"/>
    <w:rsid w:val="000D7B1A"/>
    <w:rsid w:val="001131F1"/>
    <w:rsid w:val="00147945"/>
    <w:rsid w:val="001759FD"/>
    <w:rsid w:val="001A6B67"/>
    <w:rsid w:val="001D4F8B"/>
    <w:rsid w:val="001F0062"/>
    <w:rsid w:val="002017C5"/>
    <w:rsid w:val="00230CE2"/>
    <w:rsid w:val="00241E11"/>
    <w:rsid w:val="002547A0"/>
    <w:rsid w:val="00281FE7"/>
    <w:rsid w:val="002950A4"/>
    <w:rsid w:val="002B149B"/>
    <w:rsid w:val="002D5A11"/>
    <w:rsid w:val="002D624A"/>
    <w:rsid w:val="002F3DED"/>
    <w:rsid w:val="00332B0E"/>
    <w:rsid w:val="0036763A"/>
    <w:rsid w:val="003734A4"/>
    <w:rsid w:val="00375196"/>
    <w:rsid w:val="003A2051"/>
    <w:rsid w:val="0041612D"/>
    <w:rsid w:val="00427414"/>
    <w:rsid w:val="0043143C"/>
    <w:rsid w:val="00437D2A"/>
    <w:rsid w:val="00441AB7"/>
    <w:rsid w:val="00444ED1"/>
    <w:rsid w:val="00453C42"/>
    <w:rsid w:val="004B03DC"/>
    <w:rsid w:val="004B2375"/>
    <w:rsid w:val="004B2DE0"/>
    <w:rsid w:val="004F14C5"/>
    <w:rsid w:val="00506920"/>
    <w:rsid w:val="00545C00"/>
    <w:rsid w:val="00545F61"/>
    <w:rsid w:val="0056438A"/>
    <w:rsid w:val="0056783A"/>
    <w:rsid w:val="005728CE"/>
    <w:rsid w:val="005E7F3A"/>
    <w:rsid w:val="006032FE"/>
    <w:rsid w:val="00630FC9"/>
    <w:rsid w:val="00644B6A"/>
    <w:rsid w:val="00657AAC"/>
    <w:rsid w:val="00662783"/>
    <w:rsid w:val="00663F35"/>
    <w:rsid w:val="0069397C"/>
    <w:rsid w:val="006A2571"/>
    <w:rsid w:val="006D74E3"/>
    <w:rsid w:val="006F0DF8"/>
    <w:rsid w:val="006F3236"/>
    <w:rsid w:val="00725541"/>
    <w:rsid w:val="00762C43"/>
    <w:rsid w:val="007743B9"/>
    <w:rsid w:val="007A0C93"/>
    <w:rsid w:val="007B3F5C"/>
    <w:rsid w:val="007C30A7"/>
    <w:rsid w:val="007E1F13"/>
    <w:rsid w:val="007E2017"/>
    <w:rsid w:val="007E5A97"/>
    <w:rsid w:val="007F3038"/>
    <w:rsid w:val="00805FDE"/>
    <w:rsid w:val="008225B9"/>
    <w:rsid w:val="0086128C"/>
    <w:rsid w:val="008B22B4"/>
    <w:rsid w:val="008C4A60"/>
    <w:rsid w:val="008E19F3"/>
    <w:rsid w:val="008E5424"/>
    <w:rsid w:val="008F4061"/>
    <w:rsid w:val="00910ED0"/>
    <w:rsid w:val="0091467B"/>
    <w:rsid w:val="00925315"/>
    <w:rsid w:val="00961EB2"/>
    <w:rsid w:val="00993C16"/>
    <w:rsid w:val="009C2A11"/>
    <w:rsid w:val="009C30D0"/>
    <w:rsid w:val="009D5CC5"/>
    <w:rsid w:val="009E2393"/>
    <w:rsid w:val="00A129B5"/>
    <w:rsid w:val="00A142C6"/>
    <w:rsid w:val="00A3655F"/>
    <w:rsid w:val="00A659E0"/>
    <w:rsid w:val="00A663E8"/>
    <w:rsid w:val="00A82C2B"/>
    <w:rsid w:val="00A86A55"/>
    <w:rsid w:val="00A90FFD"/>
    <w:rsid w:val="00AA0C30"/>
    <w:rsid w:val="00AB2399"/>
    <w:rsid w:val="00AD1336"/>
    <w:rsid w:val="00AD69D2"/>
    <w:rsid w:val="00AD73A4"/>
    <w:rsid w:val="00AE174A"/>
    <w:rsid w:val="00AE4E69"/>
    <w:rsid w:val="00B24304"/>
    <w:rsid w:val="00B25390"/>
    <w:rsid w:val="00B32EE2"/>
    <w:rsid w:val="00B42A7D"/>
    <w:rsid w:val="00B53B81"/>
    <w:rsid w:val="00B57778"/>
    <w:rsid w:val="00B66195"/>
    <w:rsid w:val="00B71989"/>
    <w:rsid w:val="00B94C88"/>
    <w:rsid w:val="00B9599F"/>
    <w:rsid w:val="00BA44D1"/>
    <w:rsid w:val="00BC0086"/>
    <w:rsid w:val="00C0333C"/>
    <w:rsid w:val="00C2020C"/>
    <w:rsid w:val="00C21830"/>
    <w:rsid w:val="00C375D6"/>
    <w:rsid w:val="00C37CC8"/>
    <w:rsid w:val="00C45D0F"/>
    <w:rsid w:val="00C5258E"/>
    <w:rsid w:val="00C663B3"/>
    <w:rsid w:val="00CA7D64"/>
    <w:rsid w:val="00CB7BE6"/>
    <w:rsid w:val="00CF629B"/>
    <w:rsid w:val="00D15BE4"/>
    <w:rsid w:val="00D20233"/>
    <w:rsid w:val="00D22199"/>
    <w:rsid w:val="00D56F9A"/>
    <w:rsid w:val="00DC440B"/>
    <w:rsid w:val="00DD3F80"/>
    <w:rsid w:val="00DF05EA"/>
    <w:rsid w:val="00E233DE"/>
    <w:rsid w:val="00E26FD8"/>
    <w:rsid w:val="00E56C3C"/>
    <w:rsid w:val="00E66144"/>
    <w:rsid w:val="00E75B0B"/>
    <w:rsid w:val="00E83EC7"/>
    <w:rsid w:val="00E97343"/>
    <w:rsid w:val="00ED5970"/>
    <w:rsid w:val="00F432B1"/>
    <w:rsid w:val="00F655EE"/>
    <w:rsid w:val="00F67322"/>
    <w:rsid w:val="00F74765"/>
    <w:rsid w:val="00F80939"/>
    <w:rsid w:val="00FC0569"/>
    <w:rsid w:val="00FC5FC7"/>
    <w:rsid w:val="00FF07AE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844F264-19C8-4DC1-B910-219803959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19F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Ttulo1">
    <w:name w:val="heading 1"/>
    <w:aliases w:val="Row"/>
    <w:next w:val="Normal"/>
    <w:link w:val="Ttulo1Car"/>
    <w:uiPriority w:val="9"/>
    <w:qFormat/>
    <w:rsid w:val="003A2051"/>
    <w:pPr>
      <w:keepNext/>
      <w:keepLines/>
      <w:spacing w:before="480" w:after="0" w:line="240" w:lineRule="auto"/>
      <w:outlineLvl w:val="0"/>
    </w:pPr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qFormat/>
    <w:rsid w:val="008E19F3"/>
    <w:pPr>
      <w:spacing w:after="101" w:line="216" w:lineRule="exact"/>
      <w:ind w:firstLine="288"/>
      <w:jc w:val="both"/>
    </w:pPr>
    <w:rPr>
      <w:rFonts w:ascii="Arial" w:hAnsi="Arial" w:cs="Arial"/>
      <w:sz w:val="18"/>
      <w:lang w:eastAsia="es-ES"/>
    </w:rPr>
  </w:style>
  <w:style w:type="character" w:customStyle="1" w:styleId="TextoCar">
    <w:name w:val="Texto Car"/>
    <w:link w:val="Texto"/>
    <w:locked/>
    <w:rsid w:val="008E19F3"/>
    <w:rPr>
      <w:rFonts w:ascii="Arial" w:eastAsia="Times New Roman" w:hAnsi="Arial" w:cs="Arial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8E5424"/>
    <w:pPr>
      <w:ind w:left="720"/>
      <w:contextualSpacing/>
    </w:pPr>
    <w:rPr>
      <w:rFonts w:ascii="Times" w:eastAsia="Times" w:hAnsi="Times"/>
      <w:lang w:val="es-ES_tradnl" w:eastAsia="es-ES"/>
    </w:rPr>
  </w:style>
  <w:style w:type="character" w:customStyle="1" w:styleId="PrrafodelistaCar">
    <w:name w:val="Párrafo de lista Car"/>
    <w:link w:val="Prrafodelista"/>
    <w:uiPriority w:val="34"/>
    <w:rsid w:val="008E5424"/>
    <w:rPr>
      <w:rFonts w:ascii="Times" w:eastAsia="Times" w:hAnsi="Times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809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0939"/>
    <w:rPr>
      <w:rFonts w:ascii="Tahoma" w:eastAsia="Times New Roman" w:hAnsi="Tahoma" w:cs="Tahoma"/>
      <w:sz w:val="16"/>
      <w:szCs w:val="16"/>
      <w:lang w:val="es-ES" w:eastAsia="es-MX"/>
    </w:rPr>
  </w:style>
  <w:style w:type="paragraph" w:styleId="Encabezado">
    <w:name w:val="header"/>
    <w:basedOn w:val="Normal"/>
    <w:link w:val="EncabezadoCar"/>
    <w:uiPriority w:val="99"/>
    <w:unhideWhenUsed/>
    <w:rsid w:val="00A3655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655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styleId="Piedepgina">
    <w:name w:val="footer"/>
    <w:basedOn w:val="Normal"/>
    <w:link w:val="PiedepginaCar"/>
    <w:uiPriority w:val="99"/>
    <w:unhideWhenUsed/>
    <w:rsid w:val="00A3655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655F"/>
    <w:rPr>
      <w:rFonts w:ascii="Times New Roman" w:eastAsia="Times New Roman" w:hAnsi="Times New Roman" w:cs="Times New Roman"/>
      <w:sz w:val="24"/>
      <w:szCs w:val="20"/>
      <w:lang w:val="es-ES" w:eastAsia="es-MX"/>
    </w:rPr>
  </w:style>
  <w:style w:type="paragraph" w:customStyle="1" w:styleId="NoParagraphStyle">
    <w:name w:val="[No Paragraph Style]"/>
    <w:rsid w:val="0004674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customStyle="1" w:styleId="Ttulo1Car">
    <w:name w:val="Título 1 Car"/>
    <w:aliases w:val="Row Car"/>
    <w:basedOn w:val="Fuentedeprrafopredeter"/>
    <w:link w:val="Ttulo1"/>
    <w:uiPriority w:val="9"/>
    <w:rsid w:val="003A2051"/>
    <w:rPr>
      <w:rFonts w:ascii="Arial" w:eastAsiaTheme="majorEastAsia" w:hAnsi="Arial" w:cstheme="majorBidi"/>
      <w:bCs/>
      <w:color w:val="404040" w:themeColor="text1" w:themeTint="BF"/>
      <w:sz w:val="18"/>
      <w:szCs w:val="32"/>
      <w:lang w:val="en-US"/>
    </w:rPr>
  </w:style>
  <w:style w:type="paragraph" w:styleId="Textonotapie">
    <w:name w:val="footnote text"/>
    <w:basedOn w:val="Normal"/>
    <w:link w:val="TextonotapieCar"/>
    <w:unhideWhenUsed/>
    <w:rsid w:val="003A2051"/>
    <w:pPr>
      <w:jc w:val="both"/>
    </w:pPr>
    <w:rPr>
      <w:rFonts w:ascii="Calibri" w:eastAsiaTheme="minorHAnsi" w:hAnsi="Calibri" w:cstheme="minorBidi"/>
      <w:color w:val="000000" w:themeColor="text1"/>
      <w:sz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rsid w:val="003A2051"/>
    <w:rPr>
      <w:rFonts w:ascii="Calibri" w:hAnsi="Calibri"/>
      <w:color w:val="000000" w:themeColor="text1"/>
      <w:sz w:val="20"/>
      <w:szCs w:val="20"/>
    </w:rPr>
  </w:style>
  <w:style w:type="character" w:styleId="Refdenotaalpie">
    <w:name w:val="footnote reference"/>
    <w:basedOn w:val="Fuentedeprrafopredeter"/>
    <w:unhideWhenUsed/>
    <w:rsid w:val="003A2051"/>
    <w:rPr>
      <w:rFonts w:ascii="Calibri" w:hAnsi="Calibri"/>
      <w:sz w:val="20"/>
      <w:vertAlign w:val="superscript"/>
    </w:rPr>
  </w:style>
  <w:style w:type="table" w:styleId="Tablaconcuadrcula">
    <w:name w:val="Table Grid"/>
    <w:basedOn w:val="Tablanormal"/>
    <w:uiPriority w:val="59"/>
    <w:rsid w:val="00A86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1467B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46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6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valuacion.tlaxcala.gob.mx/images/stories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efoatlaxcala.gob.mx/evaluacion/2016/pcef_ef15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1772</TotalTime>
  <Pages>4</Pages>
  <Words>943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Alfredo Alfonso Nava Morales</dc:creator>
  <cp:lastModifiedBy>Planeación</cp:lastModifiedBy>
  <cp:revision>50</cp:revision>
  <cp:lastPrinted>2018-04-11T23:08:00Z</cp:lastPrinted>
  <dcterms:created xsi:type="dcterms:W3CDTF">2017-03-21T14:40:00Z</dcterms:created>
  <dcterms:modified xsi:type="dcterms:W3CDTF">2018-04-11T23:21:00Z</dcterms:modified>
</cp:coreProperties>
</file>